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rFonts w:ascii="仿宋" w:hAnsi="仿宋" w:eastAsia="仿宋" w:cs="Times New Roman"/>
          <w:b/>
          <w:color w:val="000000"/>
          <w:w w:val="80"/>
          <w:sz w:val="72"/>
          <w:szCs w:val="72"/>
          <w:highlight w:val="yellow"/>
        </w:rPr>
      </w:pPr>
      <w:bookmarkStart w:id="0" w:name="_Hlk24613880"/>
    </w:p>
    <w:p>
      <w:pPr>
        <w:spacing w:line="276" w:lineRule="auto"/>
        <w:jc w:val="center"/>
        <w:rPr>
          <w:rFonts w:ascii="仿宋" w:hAnsi="仿宋" w:eastAsia="仿宋" w:cs="Times New Roman"/>
          <w:b/>
          <w:color w:val="000000"/>
          <w:w w:val="80"/>
          <w:sz w:val="72"/>
          <w:szCs w:val="72"/>
          <w:highlight w:val="yellow"/>
        </w:rPr>
      </w:pPr>
    </w:p>
    <w:p>
      <w:pPr>
        <w:spacing w:line="276" w:lineRule="auto"/>
        <w:jc w:val="center"/>
        <w:rPr>
          <w:rFonts w:ascii="仿宋" w:hAnsi="仿宋" w:eastAsia="仿宋" w:cs="Times New Roman"/>
          <w:b/>
          <w:color w:val="000000"/>
          <w:w w:val="80"/>
          <w:sz w:val="72"/>
          <w:szCs w:val="72"/>
          <w:highlight w:val="yellow"/>
        </w:rPr>
      </w:pPr>
    </w:p>
    <w:p>
      <w:pPr>
        <w:spacing w:line="276" w:lineRule="auto"/>
        <w:jc w:val="center"/>
        <w:rPr>
          <w:rFonts w:ascii="仿宋" w:hAnsi="仿宋" w:eastAsia="仿宋" w:cs="Times New Roman"/>
          <w:b/>
          <w:color w:val="000000"/>
          <w:w w:val="80"/>
          <w:sz w:val="64"/>
          <w:szCs w:val="64"/>
          <w:highlight w:val="none"/>
        </w:rPr>
      </w:pPr>
      <w:r>
        <w:rPr>
          <w:rFonts w:hint="eastAsia" w:ascii="仿宋" w:hAnsi="仿宋" w:eastAsia="仿宋" w:cs="Times New Roman"/>
          <w:b/>
          <w:color w:val="000000"/>
          <w:w w:val="80"/>
          <w:sz w:val="64"/>
          <w:szCs w:val="64"/>
          <w:highlight w:val="none"/>
        </w:rPr>
        <w:t>金华凯力特自动化科技有限公司</w:t>
      </w:r>
    </w:p>
    <w:p>
      <w:pPr>
        <w:spacing w:line="276" w:lineRule="auto"/>
        <w:jc w:val="center"/>
        <w:rPr>
          <w:rFonts w:ascii="宋体" w:hAnsi="宋体" w:eastAsia="宋体" w:cs="宋体"/>
          <w:b/>
          <w:sz w:val="52"/>
          <w:szCs w:val="52"/>
        </w:rPr>
      </w:pPr>
      <w:r>
        <w:rPr>
          <w:rFonts w:hint="eastAsia" w:ascii="宋体" w:hAnsi="宋体" w:eastAsia="宋体" w:cs="宋体"/>
          <w:b/>
          <w:sz w:val="52"/>
          <w:szCs w:val="52"/>
        </w:rPr>
        <w:t xml:space="preserve"> </w:t>
      </w:r>
    </w:p>
    <w:p>
      <w:pPr>
        <w:spacing w:line="276" w:lineRule="auto"/>
        <w:jc w:val="center"/>
        <w:rPr>
          <w:rFonts w:cs="宋体" w:asciiTheme="majorEastAsia" w:hAnsiTheme="majorEastAsia" w:eastAsiaTheme="majorEastAsia"/>
          <w:b/>
          <w:sz w:val="52"/>
          <w:szCs w:val="52"/>
        </w:rPr>
      </w:pPr>
      <w:r>
        <w:rPr>
          <w:rFonts w:hint="eastAsia" w:cs="宋体" w:asciiTheme="majorEastAsia" w:hAnsiTheme="majorEastAsia" w:eastAsiaTheme="majorEastAsia"/>
          <w:b/>
          <w:sz w:val="52"/>
          <w:szCs w:val="52"/>
        </w:rPr>
        <w:t>质</w:t>
      </w:r>
    </w:p>
    <w:p>
      <w:pPr>
        <w:spacing w:line="276" w:lineRule="auto"/>
        <w:jc w:val="center"/>
        <w:rPr>
          <w:rFonts w:cs="宋体" w:asciiTheme="majorEastAsia" w:hAnsiTheme="majorEastAsia" w:eastAsiaTheme="majorEastAsia"/>
          <w:b/>
          <w:sz w:val="52"/>
          <w:szCs w:val="52"/>
        </w:rPr>
      </w:pPr>
      <w:r>
        <w:rPr>
          <w:rFonts w:hint="eastAsia" w:cs="宋体" w:asciiTheme="majorEastAsia" w:hAnsiTheme="majorEastAsia" w:eastAsiaTheme="majorEastAsia"/>
          <w:b/>
          <w:sz w:val="52"/>
          <w:szCs w:val="52"/>
        </w:rPr>
        <w:t>量</w:t>
      </w:r>
    </w:p>
    <w:p>
      <w:pPr>
        <w:spacing w:line="276" w:lineRule="auto"/>
        <w:jc w:val="center"/>
        <w:rPr>
          <w:rFonts w:cs="宋体" w:asciiTheme="majorEastAsia" w:hAnsiTheme="majorEastAsia" w:eastAsiaTheme="majorEastAsia"/>
          <w:b/>
          <w:sz w:val="52"/>
          <w:szCs w:val="52"/>
        </w:rPr>
      </w:pPr>
      <w:r>
        <w:rPr>
          <w:rFonts w:hint="eastAsia" w:cs="宋体" w:asciiTheme="majorEastAsia" w:hAnsiTheme="majorEastAsia" w:eastAsiaTheme="majorEastAsia"/>
          <w:b/>
          <w:sz w:val="52"/>
          <w:szCs w:val="52"/>
        </w:rPr>
        <w:t>诚</w:t>
      </w:r>
    </w:p>
    <w:p>
      <w:pPr>
        <w:spacing w:line="276" w:lineRule="auto"/>
        <w:jc w:val="center"/>
        <w:rPr>
          <w:rFonts w:cs="宋体" w:asciiTheme="majorEastAsia" w:hAnsiTheme="majorEastAsia" w:eastAsiaTheme="majorEastAsia"/>
          <w:b/>
          <w:sz w:val="52"/>
          <w:szCs w:val="52"/>
        </w:rPr>
      </w:pPr>
      <w:r>
        <w:rPr>
          <w:rFonts w:hint="eastAsia" w:cs="宋体" w:asciiTheme="majorEastAsia" w:hAnsiTheme="majorEastAsia" w:eastAsiaTheme="majorEastAsia"/>
          <w:b/>
          <w:sz w:val="52"/>
          <w:szCs w:val="52"/>
        </w:rPr>
        <w:t>信</w:t>
      </w:r>
    </w:p>
    <w:p>
      <w:pPr>
        <w:spacing w:line="276" w:lineRule="auto"/>
        <w:jc w:val="center"/>
        <w:rPr>
          <w:rFonts w:cs="宋体" w:asciiTheme="majorEastAsia" w:hAnsiTheme="majorEastAsia" w:eastAsiaTheme="majorEastAsia"/>
          <w:b/>
          <w:sz w:val="52"/>
          <w:szCs w:val="52"/>
        </w:rPr>
      </w:pPr>
      <w:r>
        <w:rPr>
          <w:rFonts w:hint="eastAsia" w:cs="宋体" w:asciiTheme="majorEastAsia" w:hAnsiTheme="majorEastAsia" w:eastAsiaTheme="majorEastAsia"/>
          <w:b/>
          <w:sz w:val="52"/>
          <w:szCs w:val="52"/>
        </w:rPr>
        <w:t>报</w:t>
      </w:r>
    </w:p>
    <w:p>
      <w:pPr>
        <w:spacing w:line="276" w:lineRule="auto"/>
        <w:jc w:val="center"/>
        <w:rPr>
          <w:rFonts w:cs="宋体" w:asciiTheme="majorEastAsia" w:hAnsiTheme="majorEastAsia" w:eastAsiaTheme="majorEastAsia"/>
          <w:b/>
          <w:sz w:val="52"/>
          <w:szCs w:val="52"/>
        </w:rPr>
      </w:pPr>
      <w:r>
        <w:rPr>
          <w:rFonts w:hint="eastAsia" w:cs="宋体" w:asciiTheme="majorEastAsia" w:hAnsiTheme="majorEastAsia" w:eastAsiaTheme="majorEastAsia"/>
          <w:b/>
          <w:sz w:val="52"/>
          <w:szCs w:val="52"/>
        </w:rPr>
        <w:t>告</w:t>
      </w:r>
    </w:p>
    <w:p>
      <w:pPr>
        <w:spacing w:line="276" w:lineRule="auto"/>
        <w:ind w:firstLine="3900" w:firstLineChars="750"/>
        <w:rPr>
          <w:rFonts w:ascii="宋体" w:hAnsi="宋体" w:eastAsia="宋体" w:cs="宋体"/>
          <w:sz w:val="52"/>
          <w:szCs w:val="52"/>
        </w:rPr>
      </w:pPr>
    </w:p>
    <w:p>
      <w:pPr>
        <w:spacing w:line="276" w:lineRule="auto"/>
        <w:ind w:firstLine="3900" w:firstLineChars="750"/>
        <w:rPr>
          <w:rFonts w:ascii="宋体" w:hAnsi="宋体" w:eastAsia="宋体" w:cs="宋体"/>
          <w:sz w:val="52"/>
          <w:szCs w:val="52"/>
        </w:rPr>
      </w:pPr>
    </w:p>
    <w:p>
      <w:pPr>
        <w:spacing w:before="40" w:after="40" w:line="276" w:lineRule="auto"/>
        <w:jc w:val="center"/>
        <w:rPr>
          <w:rFonts w:ascii="宋体" w:hAnsi="宋体" w:eastAsia="宋体" w:cs="宋体"/>
          <w:sz w:val="36"/>
          <w:szCs w:val="36"/>
        </w:rPr>
      </w:pPr>
      <w:r>
        <w:rPr>
          <w:rFonts w:hint="eastAsia" w:ascii="宋体" w:hAnsi="宋体" w:eastAsia="宋体" w:cs="宋体"/>
          <w:sz w:val="36"/>
          <w:szCs w:val="36"/>
        </w:rPr>
        <w:t>报告日期：</w:t>
      </w:r>
      <w:r>
        <w:rPr>
          <w:rFonts w:ascii="宋体" w:hAnsi="宋体" w:eastAsia="宋体" w:cs="宋体"/>
          <w:sz w:val="36"/>
          <w:szCs w:val="36"/>
        </w:rPr>
        <w:t>202</w:t>
      </w:r>
      <w:r>
        <w:rPr>
          <w:rFonts w:hint="eastAsia" w:ascii="宋体" w:hAnsi="宋体" w:eastAsia="宋体" w:cs="宋体"/>
          <w:sz w:val="36"/>
          <w:szCs w:val="36"/>
          <w:lang w:val="en-US" w:eastAsia="zh-CN"/>
        </w:rPr>
        <w:t>3</w:t>
      </w:r>
      <w:r>
        <w:rPr>
          <w:rFonts w:hint="eastAsia" w:ascii="宋体" w:hAnsi="宋体" w:eastAsia="宋体" w:cs="宋体"/>
          <w:sz w:val="36"/>
          <w:szCs w:val="36"/>
        </w:rPr>
        <w:t>年</w:t>
      </w:r>
      <w:r>
        <w:rPr>
          <w:rFonts w:hint="eastAsia" w:ascii="宋体" w:hAnsi="宋体" w:eastAsia="宋体" w:cs="宋体"/>
          <w:sz w:val="36"/>
          <w:szCs w:val="36"/>
          <w:highlight w:val="none"/>
          <w:lang w:val="en-US" w:eastAsia="zh-CN"/>
        </w:rPr>
        <w:t>11</w:t>
      </w:r>
      <w:r>
        <w:rPr>
          <w:rFonts w:hint="eastAsia" w:ascii="宋体" w:hAnsi="宋体" w:eastAsia="宋体" w:cs="宋体"/>
          <w:sz w:val="36"/>
          <w:szCs w:val="36"/>
        </w:rPr>
        <w:t>月</w:t>
      </w:r>
    </w:p>
    <w:bookmarkEnd w:id="0"/>
    <w:p>
      <w:pPr>
        <w:spacing w:before="40" w:after="40" w:line="276" w:lineRule="auto"/>
        <w:jc w:val="center"/>
        <w:rPr>
          <w:rFonts w:ascii="宋体" w:hAnsi="宋体" w:eastAsia="宋体" w:cs="宋体"/>
          <w:sz w:val="36"/>
          <w:szCs w:val="36"/>
        </w:rPr>
      </w:pPr>
    </w:p>
    <w:sdt>
      <w:sdtPr>
        <w:rPr>
          <w:rFonts w:ascii="宋体" w:hAnsi="宋体" w:eastAsia="宋体"/>
          <w:b/>
          <w:bCs/>
          <w:sz w:val="36"/>
          <w:szCs w:val="36"/>
        </w:rPr>
        <w:id w:val="147479737"/>
        <w:docPartObj>
          <w:docPartGallery w:val="Table of Contents"/>
          <w:docPartUnique/>
        </w:docPartObj>
      </w:sdtPr>
      <w:sdtEndPr>
        <w:rPr>
          <w:rFonts w:ascii="宋体" w:hAnsi="宋体" w:eastAsia="宋体" w:cs="宋体"/>
          <w:b/>
          <w:bCs/>
          <w:sz w:val="21"/>
          <w:szCs w:val="36"/>
        </w:rPr>
      </w:sdtEndPr>
      <w:sdtContent>
        <w:p>
          <w:pPr>
            <w:jc w:val="center"/>
            <w:rPr>
              <w:b/>
              <w:bCs/>
              <w:sz w:val="36"/>
              <w:szCs w:val="36"/>
            </w:rPr>
          </w:pPr>
          <w:r>
            <w:rPr>
              <w:rFonts w:ascii="宋体" w:hAnsi="宋体" w:eastAsia="宋体"/>
              <w:b/>
              <w:bCs/>
              <w:sz w:val="36"/>
              <w:szCs w:val="36"/>
            </w:rPr>
            <w:t>目录</w:t>
          </w:r>
        </w:p>
        <w:p>
          <w:pPr>
            <w:pStyle w:val="29"/>
            <w:tabs>
              <w:tab w:val="right" w:leader="dot" w:pos="8306"/>
            </w:tabs>
            <w:spacing w:line="360" w:lineRule="auto"/>
            <w:rPr>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TOC \o "1-2" \h \u </w:instrText>
          </w:r>
          <w:r>
            <w:rPr>
              <w:rFonts w:ascii="宋体" w:hAnsi="宋体" w:eastAsia="宋体" w:cs="宋体"/>
              <w:sz w:val="24"/>
              <w:szCs w:val="24"/>
            </w:rPr>
            <w:fldChar w:fldCharType="separate"/>
          </w:r>
          <w:r>
            <w:fldChar w:fldCharType="begin"/>
          </w:r>
          <w:r>
            <w:instrText xml:space="preserve"> HYPERLINK \l "_Toc16600" </w:instrText>
          </w:r>
          <w:r>
            <w:fldChar w:fldCharType="separate"/>
          </w:r>
          <w:r>
            <w:rPr>
              <w:rFonts w:hint="eastAsia" w:cs="Times New Roman" w:asciiTheme="minorEastAsia" w:hAnsiTheme="minorEastAsia"/>
              <w:kern w:val="0"/>
              <w:sz w:val="24"/>
              <w:szCs w:val="24"/>
            </w:rPr>
            <w:t>一、前  言</w:t>
          </w:r>
          <w:r>
            <w:rPr>
              <w:sz w:val="24"/>
              <w:szCs w:val="24"/>
            </w:rPr>
            <w:tab/>
          </w:r>
          <w:r>
            <w:rPr>
              <w:sz w:val="24"/>
              <w:szCs w:val="24"/>
            </w:rPr>
            <w:fldChar w:fldCharType="begin"/>
          </w:r>
          <w:r>
            <w:rPr>
              <w:sz w:val="24"/>
              <w:szCs w:val="24"/>
            </w:rPr>
            <w:instrText xml:space="preserve"> PAGEREF _Toc16600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32"/>
            <w:tabs>
              <w:tab w:val="right" w:leader="dot" w:pos="8306"/>
            </w:tabs>
            <w:spacing w:line="360" w:lineRule="auto"/>
            <w:rPr>
              <w:sz w:val="24"/>
              <w:szCs w:val="24"/>
            </w:rPr>
          </w:pPr>
          <w:r>
            <w:fldChar w:fldCharType="begin"/>
          </w:r>
          <w:r>
            <w:instrText xml:space="preserve"> HYPERLINK \l "_Toc18094" </w:instrText>
          </w:r>
          <w:r>
            <w:fldChar w:fldCharType="separate"/>
          </w:r>
          <w:r>
            <w:rPr>
              <w:rFonts w:hint="eastAsia" w:cs="Times New Roman" w:asciiTheme="minorEastAsia" w:hAnsiTheme="minorEastAsia"/>
              <w:kern w:val="0"/>
              <w:sz w:val="24"/>
              <w:szCs w:val="24"/>
            </w:rPr>
            <w:t>（一）编制说明</w:t>
          </w:r>
          <w:r>
            <w:rPr>
              <w:sz w:val="24"/>
              <w:szCs w:val="24"/>
            </w:rPr>
            <w:tab/>
          </w:r>
          <w:r>
            <w:rPr>
              <w:sz w:val="24"/>
              <w:szCs w:val="24"/>
            </w:rPr>
            <w:fldChar w:fldCharType="begin"/>
          </w:r>
          <w:r>
            <w:rPr>
              <w:sz w:val="24"/>
              <w:szCs w:val="24"/>
            </w:rPr>
            <w:instrText xml:space="preserve"> PAGEREF _Toc18094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32"/>
            <w:tabs>
              <w:tab w:val="right" w:leader="dot" w:pos="8306"/>
            </w:tabs>
            <w:spacing w:line="360" w:lineRule="auto"/>
            <w:rPr>
              <w:sz w:val="24"/>
              <w:szCs w:val="24"/>
            </w:rPr>
          </w:pPr>
          <w:r>
            <w:fldChar w:fldCharType="begin"/>
          </w:r>
          <w:r>
            <w:instrText xml:space="preserve"> HYPERLINK \l "_Toc13821" </w:instrText>
          </w:r>
          <w:r>
            <w:fldChar w:fldCharType="separate"/>
          </w:r>
          <w:r>
            <w:rPr>
              <w:rFonts w:hint="eastAsia" w:cs="Times New Roman" w:asciiTheme="minorEastAsia" w:hAnsiTheme="minorEastAsia"/>
              <w:kern w:val="0"/>
              <w:sz w:val="24"/>
              <w:szCs w:val="24"/>
            </w:rPr>
            <w:t>（二）总经理致辞</w:t>
          </w:r>
          <w:r>
            <w:rPr>
              <w:sz w:val="24"/>
              <w:szCs w:val="24"/>
            </w:rPr>
            <w:tab/>
          </w:r>
          <w:r>
            <w:rPr>
              <w:sz w:val="24"/>
              <w:szCs w:val="24"/>
            </w:rPr>
            <w:fldChar w:fldCharType="begin"/>
          </w:r>
          <w:r>
            <w:rPr>
              <w:sz w:val="24"/>
              <w:szCs w:val="24"/>
            </w:rPr>
            <w:instrText xml:space="preserve"> PAGEREF _Toc13821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32"/>
            <w:tabs>
              <w:tab w:val="right" w:leader="dot" w:pos="8306"/>
            </w:tabs>
            <w:spacing w:line="360" w:lineRule="auto"/>
            <w:rPr>
              <w:sz w:val="24"/>
              <w:szCs w:val="24"/>
            </w:rPr>
          </w:pPr>
          <w:r>
            <w:fldChar w:fldCharType="begin"/>
          </w:r>
          <w:r>
            <w:instrText xml:space="preserve"> HYPERLINK \l "_Toc13647" </w:instrText>
          </w:r>
          <w:r>
            <w:fldChar w:fldCharType="separate"/>
          </w:r>
          <w:r>
            <w:rPr>
              <w:rFonts w:hint="eastAsia" w:cs="Times New Roman" w:asciiTheme="minorEastAsia" w:hAnsiTheme="minorEastAsia"/>
              <w:kern w:val="0"/>
              <w:sz w:val="24"/>
              <w:szCs w:val="24"/>
            </w:rPr>
            <w:t>（三）公司简介</w:t>
          </w:r>
          <w:r>
            <w:rPr>
              <w:sz w:val="24"/>
              <w:szCs w:val="24"/>
            </w:rPr>
            <w:tab/>
          </w:r>
          <w:r>
            <w:rPr>
              <w:sz w:val="24"/>
              <w:szCs w:val="24"/>
            </w:rPr>
            <w:fldChar w:fldCharType="begin"/>
          </w:r>
          <w:r>
            <w:rPr>
              <w:sz w:val="24"/>
              <w:szCs w:val="24"/>
            </w:rPr>
            <w:instrText xml:space="preserve"> PAGEREF _Toc13647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29"/>
            <w:tabs>
              <w:tab w:val="right" w:leader="dot" w:pos="8306"/>
            </w:tabs>
            <w:spacing w:line="360" w:lineRule="auto"/>
            <w:rPr>
              <w:sz w:val="24"/>
              <w:szCs w:val="24"/>
            </w:rPr>
          </w:pPr>
          <w:r>
            <w:fldChar w:fldCharType="begin"/>
          </w:r>
          <w:r>
            <w:instrText xml:space="preserve"> HYPERLINK \l "_Toc8329" </w:instrText>
          </w:r>
          <w:r>
            <w:fldChar w:fldCharType="separate"/>
          </w:r>
          <w:r>
            <w:rPr>
              <w:rFonts w:hint="eastAsia" w:cs="Times New Roman" w:asciiTheme="minorEastAsia" w:hAnsiTheme="minorEastAsia"/>
              <w:kern w:val="0"/>
              <w:sz w:val="24"/>
              <w:szCs w:val="24"/>
            </w:rPr>
            <w:t>二、企业质量管理</w:t>
          </w:r>
          <w:r>
            <w:rPr>
              <w:sz w:val="24"/>
              <w:szCs w:val="24"/>
            </w:rPr>
            <w:tab/>
          </w:r>
          <w:r>
            <w:rPr>
              <w:sz w:val="24"/>
              <w:szCs w:val="24"/>
            </w:rPr>
            <w:fldChar w:fldCharType="begin"/>
          </w:r>
          <w:r>
            <w:rPr>
              <w:sz w:val="24"/>
              <w:szCs w:val="24"/>
            </w:rPr>
            <w:instrText xml:space="preserve"> PAGEREF _Toc8329 </w:instrText>
          </w:r>
          <w:r>
            <w:rPr>
              <w:sz w:val="24"/>
              <w:szCs w:val="24"/>
            </w:rPr>
            <w:fldChar w:fldCharType="separate"/>
          </w:r>
          <w:r>
            <w:rPr>
              <w:sz w:val="24"/>
              <w:szCs w:val="24"/>
            </w:rPr>
            <w:t>4</w:t>
          </w:r>
          <w:r>
            <w:rPr>
              <w:sz w:val="24"/>
              <w:szCs w:val="24"/>
            </w:rPr>
            <w:fldChar w:fldCharType="end"/>
          </w:r>
          <w:r>
            <w:rPr>
              <w:sz w:val="24"/>
              <w:szCs w:val="24"/>
            </w:rPr>
            <w:fldChar w:fldCharType="end"/>
          </w:r>
        </w:p>
        <w:p>
          <w:pPr>
            <w:pStyle w:val="32"/>
            <w:tabs>
              <w:tab w:val="right" w:leader="dot" w:pos="8306"/>
            </w:tabs>
            <w:spacing w:line="360" w:lineRule="auto"/>
            <w:rPr>
              <w:sz w:val="24"/>
              <w:szCs w:val="24"/>
            </w:rPr>
          </w:pPr>
          <w:r>
            <w:fldChar w:fldCharType="begin"/>
          </w:r>
          <w:r>
            <w:instrText xml:space="preserve"> HYPERLINK \l "_Toc28792" </w:instrText>
          </w:r>
          <w:r>
            <w:fldChar w:fldCharType="separate"/>
          </w:r>
          <w:r>
            <w:rPr>
              <w:rFonts w:hint="eastAsia" w:cs="Times New Roman" w:asciiTheme="minorEastAsia" w:hAnsiTheme="minorEastAsia"/>
              <w:kern w:val="0"/>
              <w:sz w:val="24"/>
              <w:szCs w:val="24"/>
            </w:rPr>
            <w:t>（一）企业质量理念</w:t>
          </w:r>
          <w:r>
            <w:rPr>
              <w:sz w:val="24"/>
              <w:szCs w:val="24"/>
            </w:rPr>
            <w:tab/>
          </w:r>
          <w:r>
            <w:rPr>
              <w:sz w:val="24"/>
              <w:szCs w:val="24"/>
            </w:rPr>
            <w:fldChar w:fldCharType="begin"/>
          </w:r>
          <w:r>
            <w:rPr>
              <w:sz w:val="24"/>
              <w:szCs w:val="24"/>
            </w:rPr>
            <w:instrText xml:space="preserve"> PAGEREF _Toc28792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32"/>
            <w:tabs>
              <w:tab w:val="right" w:leader="dot" w:pos="8306"/>
            </w:tabs>
            <w:spacing w:line="360" w:lineRule="auto"/>
            <w:rPr>
              <w:sz w:val="24"/>
              <w:szCs w:val="24"/>
            </w:rPr>
          </w:pPr>
          <w:r>
            <w:fldChar w:fldCharType="begin"/>
          </w:r>
          <w:r>
            <w:instrText xml:space="preserve"> HYPERLINK \l "_Toc9290" </w:instrText>
          </w:r>
          <w:r>
            <w:fldChar w:fldCharType="separate"/>
          </w:r>
          <w:r>
            <w:rPr>
              <w:rFonts w:hint="eastAsia" w:cs="Times New Roman" w:asciiTheme="minorEastAsia" w:hAnsiTheme="minorEastAsia"/>
              <w:kern w:val="0"/>
              <w:sz w:val="24"/>
              <w:szCs w:val="24"/>
            </w:rPr>
            <w:t>（二）质量管理机构</w:t>
          </w:r>
          <w:r>
            <w:rPr>
              <w:sz w:val="24"/>
              <w:szCs w:val="24"/>
            </w:rPr>
            <w:tab/>
          </w:r>
          <w:r>
            <w:rPr>
              <w:sz w:val="24"/>
              <w:szCs w:val="24"/>
            </w:rPr>
            <w:fldChar w:fldCharType="begin"/>
          </w:r>
          <w:r>
            <w:rPr>
              <w:sz w:val="24"/>
              <w:szCs w:val="24"/>
            </w:rPr>
            <w:instrText xml:space="preserve"> PAGEREF _Toc9290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32"/>
            <w:tabs>
              <w:tab w:val="right" w:leader="dot" w:pos="8306"/>
            </w:tabs>
            <w:spacing w:line="360" w:lineRule="auto"/>
            <w:rPr>
              <w:sz w:val="24"/>
              <w:szCs w:val="24"/>
            </w:rPr>
          </w:pPr>
          <w:r>
            <w:fldChar w:fldCharType="begin"/>
          </w:r>
          <w:r>
            <w:instrText xml:space="preserve"> HYPERLINK \l "_Toc21673" </w:instrText>
          </w:r>
          <w:r>
            <w:fldChar w:fldCharType="separate"/>
          </w:r>
          <w:r>
            <w:rPr>
              <w:rFonts w:hint="eastAsia" w:cs="Times New Roman" w:asciiTheme="minorEastAsia" w:hAnsiTheme="minorEastAsia"/>
              <w:kern w:val="0"/>
              <w:sz w:val="24"/>
              <w:szCs w:val="24"/>
            </w:rPr>
            <w:t>（三）质量管理体系</w:t>
          </w:r>
          <w:r>
            <w:rPr>
              <w:sz w:val="24"/>
              <w:szCs w:val="24"/>
            </w:rPr>
            <w:tab/>
          </w:r>
          <w:r>
            <w:rPr>
              <w:sz w:val="24"/>
              <w:szCs w:val="24"/>
            </w:rPr>
            <w:fldChar w:fldCharType="begin"/>
          </w:r>
          <w:r>
            <w:rPr>
              <w:sz w:val="24"/>
              <w:szCs w:val="24"/>
            </w:rPr>
            <w:instrText xml:space="preserve"> PAGEREF _Toc21673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32"/>
            <w:tabs>
              <w:tab w:val="right" w:leader="dot" w:pos="8306"/>
            </w:tabs>
            <w:spacing w:line="360" w:lineRule="auto"/>
            <w:rPr>
              <w:sz w:val="24"/>
              <w:szCs w:val="24"/>
            </w:rPr>
          </w:pPr>
          <w:r>
            <w:fldChar w:fldCharType="begin"/>
          </w:r>
          <w:r>
            <w:instrText xml:space="preserve"> HYPERLINK \l "_Toc31735" </w:instrText>
          </w:r>
          <w:r>
            <w:fldChar w:fldCharType="separate"/>
          </w:r>
          <w:r>
            <w:rPr>
              <w:rFonts w:hint="eastAsia" w:cs="Times New Roman" w:asciiTheme="minorEastAsia" w:hAnsiTheme="minorEastAsia"/>
              <w:kern w:val="0"/>
              <w:sz w:val="24"/>
              <w:szCs w:val="24"/>
            </w:rPr>
            <w:t>（四）质量诚信管理</w:t>
          </w:r>
          <w:r>
            <w:rPr>
              <w:sz w:val="24"/>
              <w:szCs w:val="24"/>
            </w:rPr>
            <w:tab/>
          </w:r>
          <w:r>
            <w:rPr>
              <w:sz w:val="24"/>
              <w:szCs w:val="24"/>
            </w:rPr>
            <w:fldChar w:fldCharType="begin"/>
          </w:r>
          <w:r>
            <w:rPr>
              <w:sz w:val="24"/>
              <w:szCs w:val="24"/>
            </w:rPr>
            <w:instrText xml:space="preserve"> PAGEREF _Toc31735 </w:instrText>
          </w:r>
          <w:r>
            <w:rPr>
              <w:sz w:val="24"/>
              <w:szCs w:val="24"/>
            </w:rPr>
            <w:fldChar w:fldCharType="separate"/>
          </w:r>
          <w:r>
            <w:rPr>
              <w:sz w:val="24"/>
              <w:szCs w:val="24"/>
            </w:rPr>
            <w:t>9</w:t>
          </w:r>
          <w:r>
            <w:rPr>
              <w:sz w:val="24"/>
              <w:szCs w:val="24"/>
            </w:rPr>
            <w:fldChar w:fldCharType="end"/>
          </w:r>
          <w:r>
            <w:rPr>
              <w:sz w:val="24"/>
              <w:szCs w:val="24"/>
            </w:rPr>
            <w:fldChar w:fldCharType="end"/>
          </w:r>
        </w:p>
        <w:p>
          <w:pPr>
            <w:pStyle w:val="32"/>
            <w:tabs>
              <w:tab w:val="right" w:leader="dot" w:pos="8306"/>
            </w:tabs>
            <w:spacing w:line="360" w:lineRule="auto"/>
            <w:rPr>
              <w:sz w:val="24"/>
              <w:szCs w:val="24"/>
            </w:rPr>
          </w:pPr>
          <w:r>
            <w:fldChar w:fldCharType="begin"/>
          </w:r>
          <w:r>
            <w:instrText xml:space="preserve"> HYPERLINK \l "_Toc18678" </w:instrText>
          </w:r>
          <w:r>
            <w:fldChar w:fldCharType="separate"/>
          </w:r>
          <w:r>
            <w:rPr>
              <w:rFonts w:hint="eastAsia" w:cs="Times New Roman" w:asciiTheme="minorEastAsia" w:hAnsiTheme="minorEastAsia"/>
              <w:kern w:val="0"/>
              <w:sz w:val="24"/>
              <w:szCs w:val="24"/>
            </w:rPr>
            <w:t>（五）企业文化建设</w:t>
          </w:r>
          <w:r>
            <w:rPr>
              <w:sz w:val="24"/>
              <w:szCs w:val="24"/>
            </w:rPr>
            <w:tab/>
          </w:r>
          <w:r>
            <w:rPr>
              <w:sz w:val="24"/>
              <w:szCs w:val="24"/>
            </w:rPr>
            <w:fldChar w:fldCharType="begin"/>
          </w:r>
          <w:r>
            <w:rPr>
              <w:sz w:val="24"/>
              <w:szCs w:val="24"/>
            </w:rPr>
            <w:instrText xml:space="preserve"> PAGEREF _Toc18678 </w:instrText>
          </w:r>
          <w:r>
            <w:rPr>
              <w:sz w:val="24"/>
              <w:szCs w:val="24"/>
            </w:rPr>
            <w:fldChar w:fldCharType="separate"/>
          </w:r>
          <w:r>
            <w:rPr>
              <w:sz w:val="24"/>
              <w:szCs w:val="24"/>
            </w:rPr>
            <w:t>12</w:t>
          </w:r>
          <w:r>
            <w:rPr>
              <w:sz w:val="24"/>
              <w:szCs w:val="24"/>
            </w:rPr>
            <w:fldChar w:fldCharType="end"/>
          </w:r>
          <w:r>
            <w:rPr>
              <w:sz w:val="24"/>
              <w:szCs w:val="24"/>
            </w:rPr>
            <w:fldChar w:fldCharType="end"/>
          </w:r>
        </w:p>
        <w:p>
          <w:pPr>
            <w:pStyle w:val="32"/>
            <w:tabs>
              <w:tab w:val="right" w:leader="dot" w:pos="8306"/>
            </w:tabs>
            <w:spacing w:line="360" w:lineRule="auto"/>
            <w:rPr>
              <w:sz w:val="24"/>
              <w:szCs w:val="24"/>
            </w:rPr>
          </w:pPr>
          <w:r>
            <w:fldChar w:fldCharType="begin"/>
          </w:r>
          <w:r>
            <w:instrText xml:space="preserve"> HYPERLINK \l "_Toc5299" </w:instrText>
          </w:r>
          <w:r>
            <w:fldChar w:fldCharType="separate"/>
          </w:r>
          <w:r>
            <w:rPr>
              <w:rFonts w:hint="eastAsia" w:cs="Times New Roman" w:asciiTheme="minorEastAsia" w:hAnsiTheme="minorEastAsia"/>
              <w:kern w:val="0"/>
              <w:sz w:val="24"/>
              <w:szCs w:val="24"/>
            </w:rPr>
            <w:t>（六）企业技术水平</w:t>
          </w:r>
          <w:r>
            <w:rPr>
              <w:sz w:val="24"/>
              <w:szCs w:val="24"/>
            </w:rPr>
            <w:tab/>
          </w:r>
          <w:r>
            <w:rPr>
              <w:sz w:val="24"/>
              <w:szCs w:val="24"/>
            </w:rPr>
            <w:fldChar w:fldCharType="begin"/>
          </w:r>
          <w:r>
            <w:rPr>
              <w:sz w:val="24"/>
              <w:szCs w:val="24"/>
            </w:rPr>
            <w:instrText xml:space="preserve"> PAGEREF _Toc5299 </w:instrText>
          </w:r>
          <w:r>
            <w:rPr>
              <w:sz w:val="24"/>
              <w:szCs w:val="24"/>
            </w:rPr>
            <w:fldChar w:fldCharType="separate"/>
          </w:r>
          <w:r>
            <w:rPr>
              <w:sz w:val="24"/>
              <w:szCs w:val="24"/>
            </w:rPr>
            <w:t>12</w:t>
          </w:r>
          <w:r>
            <w:rPr>
              <w:sz w:val="24"/>
              <w:szCs w:val="24"/>
            </w:rPr>
            <w:fldChar w:fldCharType="end"/>
          </w:r>
          <w:r>
            <w:rPr>
              <w:sz w:val="24"/>
              <w:szCs w:val="24"/>
            </w:rPr>
            <w:fldChar w:fldCharType="end"/>
          </w:r>
        </w:p>
        <w:p>
          <w:pPr>
            <w:pStyle w:val="32"/>
            <w:tabs>
              <w:tab w:val="right" w:leader="dot" w:pos="8306"/>
            </w:tabs>
            <w:spacing w:line="360" w:lineRule="auto"/>
            <w:rPr>
              <w:sz w:val="24"/>
              <w:szCs w:val="24"/>
            </w:rPr>
          </w:pPr>
          <w:r>
            <w:fldChar w:fldCharType="begin"/>
          </w:r>
          <w:r>
            <w:instrText xml:space="preserve"> HYPERLINK \l "_Toc26372" </w:instrText>
          </w:r>
          <w:r>
            <w:fldChar w:fldCharType="separate"/>
          </w:r>
          <w:r>
            <w:rPr>
              <w:rFonts w:hint="eastAsia" w:cs="Times New Roman" w:asciiTheme="minorEastAsia" w:hAnsiTheme="minorEastAsia"/>
              <w:kern w:val="0"/>
              <w:sz w:val="24"/>
              <w:szCs w:val="24"/>
            </w:rPr>
            <w:t>（七）企业计量水平</w:t>
          </w:r>
          <w:r>
            <w:rPr>
              <w:sz w:val="24"/>
              <w:szCs w:val="24"/>
            </w:rPr>
            <w:tab/>
          </w:r>
          <w:r>
            <w:rPr>
              <w:sz w:val="24"/>
              <w:szCs w:val="24"/>
            </w:rPr>
            <w:fldChar w:fldCharType="begin"/>
          </w:r>
          <w:r>
            <w:rPr>
              <w:sz w:val="24"/>
              <w:szCs w:val="24"/>
            </w:rPr>
            <w:instrText xml:space="preserve"> PAGEREF _Toc26372 </w:instrText>
          </w:r>
          <w:r>
            <w:rPr>
              <w:sz w:val="24"/>
              <w:szCs w:val="24"/>
            </w:rPr>
            <w:fldChar w:fldCharType="separate"/>
          </w:r>
          <w:r>
            <w:rPr>
              <w:sz w:val="24"/>
              <w:szCs w:val="24"/>
            </w:rPr>
            <w:t>13</w:t>
          </w:r>
          <w:r>
            <w:rPr>
              <w:sz w:val="24"/>
              <w:szCs w:val="24"/>
            </w:rPr>
            <w:fldChar w:fldCharType="end"/>
          </w:r>
          <w:r>
            <w:rPr>
              <w:sz w:val="24"/>
              <w:szCs w:val="24"/>
            </w:rPr>
            <w:fldChar w:fldCharType="end"/>
          </w:r>
        </w:p>
        <w:p>
          <w:pPr>
            <w:pStyle w:val="32"/>
            <w:tabs>
              <w:tab w:val="right" w:leader="dot" w:pos="8306"/>
            </w:tabs>
            <w:spacing w:line="360" w:lineRule="auto"/>
            <w:rPr>
              <w:sz w:val="24"/>
              <w:szCs w:val="24"/>
            </w:rPr>
          </w:pPr>
          <w:r>
            <w:fldChar w:fldCharType="begin"/>
          </w:r>
          <w:r>
            <w:instrText xml:space="preserve"> HYPERLINK \l "_Toc9831" </w:instrText>
          </w:r>
          <w:r>
            <w:fldChar w:fldCharType="separate"/>
          </w:r>
          <w:r>
            <w:rPr>
              <w:rFonts w:hint="eastAsia" w:cs="Times New Roman" w:asciiTheme="minorEastAsia" w:hAnsiTheme="minorEastAsia"/>
              <w:kern w:val="0"/>
              <w:sz w:val="24"/>
              <w:szCs w:val="24"/>
            </w:rPr>
            <w:t>（八）认证认可情况</w:t>
          </w:r>
          <w:r>
            <w:rPr>
              <w:sz w:val="24"/>
              <w:szCs w:val="24"/>
            </w:rPr>
            <w:tab/>
          </w:r>
          <w:r>
            <w:rPr>
              <w:sz w:val="24"/>
              <w:szCs w:val="24"/>
            </w:rPr>
            <w:fldChar w:fldCharType="begin"/>
          </w:r>
          <w:r>
            <w:rPr>
              <w:sz w:val="24"/>
              <w:szCs w:val="24"/>
            </w:rPr>
            <w:instrText xml:space="preserve"> PAGEREF _Toc9831 </w:instrText>
          </w:r>
          <w:r>
            <w:rPr>
              <w:sz w:val="24"/>
              <w:szCs w:val="24"/>
            </w:rPr>
            <w:fldChar w:fldCharType="separate"/>
          </w:r>
          <w:r>
            <w:rPr>
              <w:sz w:val="24"/>
              <w:szCs w:val="24"/>
            </w:rPr>
            <w:t>13</w:t>
          </w:r>
          <w:r>
            <w:rPr>
              <w:sz w:val="24"/>
              <w:szCs w:val="24"/>
            </w:rPr>
            <w:fldChar w:fldCharType="end"/>
          </w:r>
          <w:r>
            <w:rPr>
              <w:sz w:val="24"/>
              <w:szCs w:val="24"/>
            </w:rPr>
            <w:fldChar w:fldCharType="end"/>
          </w:r>
        </w:p>
        <w:p>
          <w:pPr>
            <w:pStyle w:val="32"/>
            <w:tabs>
              <w:tab w:val="right" w:leader="dot" w:pos="8306"/>
            </w:tabs>
            <w:spacing w:line="360" w:lineRule="auto"/>
            <w:rPr>
              <w:sz w:val="24"/>
              <w:szCs w:val="24"/>
            </w:rPr>
          </w:pPr>
          <w:r>
            <w:fldChar w:fldCharType="begin"/>
          </w:r>
          <w:r>
            <w:instrText xml:space="preserve"> HYPERLINK \l "_Toc110" </w:instrText>
          </w:r>
          <w:r>
            <w:fldChar w:fldCharType="separate"/>
          </w:r>
          <w:r>
            <w:rPr>
              <w:rFonts w:hint="eastAsia" w:cs="Times New Roman" w:asciiTheme="minorEastAsia" w:hAnsiTheme="minorEastAsia"/>
              <w:kern w:val="0"/>
              <w:sz w:val="24"/>
              <w:szCs w:val="24"/>
            </w:rPr>
            <w:t>（九）产品质量承诺</w:t>
          </w:r>
          <w:r>
            <w:rPr>
              <w:sz w:val="24"/>
              <w:szCs w:val="24"/>
            </w:rPr>
            <w:tab/>
          </w:r>
          <w:r>
            <w:rPr>
              <w:sz w:val="24"/>
              <w:szCs w:val="24"/>
            </w:rPr>
            <w:fldChar w:fldCharType="begin"/>
          </w:r>
          <w:r>
            <w:rPr>
              <w:sz w:val="24"/>
              <w:szCs w:val="24"/>
            </w:rPr>
            <w:instrText xml:space="preserve"> PAGEREF _Toc110 </w:instrText>
          </w:r>
          <w:r>
            <w:rPr>
              <w:sz w:val="24"/>
              <w:szCs w:val="24"/>
            </w:rPr>
            <w:fldChar w:fldCharType="separate"/>
          </w:r>
          <w:r>
            <w:rPr>
              <w:sz w:val="24"/>
              <w:szCs w:val="24"/>
            </w:rPr>
            <w:t>14</w:t>
          </w:r>
          <w:r>
            <w:rPr>
              <w:sz w:val="24"/>
              <w:szCs w:val="24"/>
            </w:rPr>
            <w:fldChar w:fldCharType="end"/>
          </w:r>
          <w:r>
            <w:rPr>
              <w:sz w:val="24"/>
              <w:szCs w:val="24"/>
            </w:rPr>
            <w:fldChar w:fldCharType="end"/>
          </w:r>
        </w:p>
        <w:p>
          <w:pPr>
            <w:pStyle w:val="32"/>
            <w:tabs>
              <w:tab w:val="right" w:leader="dot" w:pos="8306"/>
            </w:tabs>
            <w:spacing w:line="360" w:lineRule="auto"/>
            <w:rPr>
              <w:sz w:val="24"/>
              <w:szCs w:val="24"/>
            </w:rPr>
          </w:pPr>
          <w:r>
            <w:fldChar w:fldCharType="begin"/>
          </w:r>
          <w:r>
            <w:instrText xml:space="preserve"> HYPERLINK \l "_Toc14390" </w:instrText>
          </w:r>
          <w:r>
            <w:fldChar w:fldCharType="separate"/>
          </w:r>
          <w:r>
            <w:rPr>
              <w:rFonts w:hint="eastAsia" w:cs="Times New Roman" w:asciiTheme="minorEastAsia" w:hAnsiTheme="minorEastAsia"/>
              <w:kern w:val="0"/>
              <w:sz w:val="24"/>
              <w:szCs w:val="24"/>
            </w:rPr>
            <w:t>（十）质量投诉处理</w:t>
          </w:r>
          <w:r>
            <w:rPr>
              <w:sz w:val="24"/>
              <w:szCs w:val="24"/>
            </w:rPr>
            <w:tab/>
          </w:r>
          <w:r>
            <w:rPr>
              <w:sz w:val="24"/>
              <w:szCs w:val="24"/>
            </w:rPr>
            <w:fldChar w:fldCharType="begin"/>
          </w:r>
          <w:r>
            <w:rPr>
              <w:sz w:val="24"/>
              <w:szCs w:val="24"/>
            </w:rPr>
            <w:instrText xml:space="preserve"> PAGEREF _Toc14390 </w:instrText>
          </w:r>
          <w:r>
            <w:rPr>
              <w:sz w:val="24"/>
              <w:szCs w:val="24"/>
            </w:rPr>
            <w:fldChar w:fldCharType="separate"/>
          </w:r>
          <w:r>
            <w:rPr>
              <w:sz w:val="24"/>
              <w:szCs w:val="24"/>
            </w:rPr>
            <w:t>14</w:t>
          </w:r>
          <w:r>
            <w:rPr>
              <w:sz w:val="24"/>
              <w:szCs w:val="24"/>
            </w:rPr>
            <w:fldChar w:fldCharType="end"/>
          </w:r>
          <w:r>
            <w:rPr>
              <w:sz w:val="24"/>
              <w:szCs w:val="24"/>
            </w:rPr>
            <w:fldChar w:fldCharType="end"/>
          </w:r>
        </w:p>
        <w:p>
          <w:pPr>
            <w:pStyle w:val="32"/>
            <w:tabs>
              <w:tab w:val="right" w:leader="dot" w:pos="8306"/>
            </w:tabs>
            <w:spacing w:line="360" w:lineRule="auto"/>
            <w:rPr>
              <w:sz w:val="24"/>
              <w:szCs w:val="24"/>
            </w:rPr>
          </w:pPr>
          <w:r>
            <w:fldChar w:fldCharType="begin"/>
          </w:r>
          <w:r>
            <w:instrText xml:space="preserve"> HYPERLINK \l "_Toc21494" </w:instrText>
          </w:r>
          <w:r>
            <w:fldChar w:fldCharType="separate"/>
          </w:r>
          <w:r>
            <w:rPr>
              <w:rFonts w:hint="eastAsia" w:cs="Times New Roman" w:asciiTheme="minorEastAsia" w:hAnsiTheme="minorEastAsia"/>
              <w:kern w:val="0"/>
              <w:sz w:val="24"/>
              <w:szCs w:val="24"/>
            </w:rPr>
            <w:t>（十一）质量风险监测</w:t>
          </w:r>
          <w:r>
            <w:rPr>
              <w:sz w:val="24"/>
              <w:szCs w:val="24"/>
            </w:rPr>
            <w:tab/>
          </w:r>
          <w:r>
            <w:rPr>
              <w:sz w:val="24"/>
              <w:szCs w:val="24"/>
            </w:rPr>
            <w:fldChar w:fldCharType="begin"/>
          </w:r>
          <w:r>
            <w:rPr>
              <w:sz w:val="24"/>
              <w:szCs w:val="24"/>
            </w:rPr>
            <w:instrText xml:space="preserve"> PAGEREF _Toc21494 </w:instrText>
          </w:r>
          <w:r>
            <w:rPr>
              <w:sz w:val="24"/>
              <w:szCs w:val="24"/>
            </w:rPr>
            <w:fldChar w:fldCharType="separate"/>
          </w:r>
          <w:r>
            <w:rPr>
              <w:sz w:val="24"/>
              <w:szCs w:val="24"/>
            </w:rPr>
            <w:t>14</w:t>
          </w:r>
          <w:r>
            <w:rPr>
              <w:sz w:val="24"/>
              <w:szCs w:val="24"/>
            </w:rPr>
            <w:fldChar w:fldCharType="end"/>
          </w:r>
          <w:r>
            <w:rPr>
              <w:sz w:val="24"/>
              <w:szCs w:val="24"/>
            </w:rPr>
            <w:fldChar w:fldCharType="end"/>
          </w:r>
        </w:p>
        <w:p>
          <w:pPr>
            <w:pStyle w:val="29"/>
            <w:tabs>
              <w:tab w:val="right" w:leader="dot" w:pos="8306"/>
            </w:tabs>
            <w:spacing w:line="360" w:lineRule="auto"/>
            <w:rPr>
              <w:sz w:val="24"/>
              <w:szCs w:val="24"/>
            </w:rPr>
          </w:pPr>
          <w:r>
            <w:fldChar w:fldCharType="begin"/>
          </w:r>
          <w:r>
            <w:instrText xml:space="preserve"> HYPERLINK \l "_Toc14688" </w:instrText>
          </w:r>
          <w:r>
            <w:fldChar w:fldCharType="separate"/>
          </w:r>
          <w:r>
            <w:rPr>
              <w:rFonts w:hint="eastAsia" w:cs="Times New Roman" w:asciiTheme="minorEastAsia" w:hAnsiTheme="minorEastAsia"/>
              <w:kern w:val="0"/>
              <w:sz w:val="24"/>
              <w:szCs w:val="24"/>
            </w:rPr>
            <w:t>三、展望</w:t>
          </w:r>
          <w:r>
            <w:rPr>
              <w:sz w:val="24"/>
              <w:szCs w:val="24"/>
            </w:rPr>
            <w:tab/>
          </w:r>
          <w:r>
            <w:rPr>
              <w:sz w:val="24"/>
              <w:szCs w:val="24"/>
            </w:rPr>
            <w:fldChar w:fldCharType="begin"/>
          </w:r>
          <w:r>
            <w:rPr>
              <w:sz w:val="24"/>
              <w:szCs w:val="24"/>
            </w:rPr>
            <w:instrText xml:space="preserve"> PAGEREF _Toc14688 </w:instrText>
          </w:r>
          <w:r>
            <w:rPr>
              <w:sz w:val="24"/>
              <w:szCs w:val="24"/>
            </w:rPr>
            <w:fldChar w:fldCharType="separate"/>
          </w:r>
          <w:r>
            <w:rPr>
              <w:sz w:val="24"/>
              <w:szCs w:val="24"/>
            </w:rPr>
            <w:t>15</w:t>
          </w:r>
          <w:r>
            <w:rPr>
              <w:sz w:val="24"/>
              <w:szCs w:val="24"/>
            </w:rPr>
            <w:fldChar w:fldCharType="end"/>
          </w:r>
          <w:r>
            <w:rPr>
              <w:sz w:val="24"/>
              <w:szCs w:val="24"/>
            </w:rPr>
            <w:fldChar w:fldCharType="end"/>
          </w:r>
        </w:p>
        <w:p>
          <w:pPr>
            <w:spacing w:before="40" w:after="40" w:line="360" w:lineRule="auto"/>
            <w:jc w:val="center"/>
            <w:rPr>
              <w:rFonts w:ascii="宋体" w:hAnsi="宋体" w:eastAsia="宋体" w:cs="宋体"/>
              <w:szCs w:val="36"/>
            </w:rPr>
          </w:pPr>
          <w:r>
            <w:rPr>
              <w:rFonts w:ascii="宋体" w:hAnsi="宋体" w:eastAsia="宋体" w:cs="宋体"/>
              <w:sz w:val="24"/>
              <w:szCs w:val="24"/>
            </w:rPr>
            <w:fldChar w:fldCharType="end"/>
          </w:r>
        </w:p>
      </w:sdtContent>
    </w:sdt>
    <w:p>
      <w:pPr>
        <w:spacing w:line="360" w:lineRule="auto"/>
        <w:ind w:firstLine="480" w:firstLineChars="200"/>
        <w:rPr>
          <w:rFonts w:cs="Times New Roman" w:asciiTheme="minorEastAsia" w:hAnsiTheme="minorEastAsia"/>
          <w:kern w:val="0"/>
          <w:sz w:val="24"/>
          <w:szCs w:val="24"/>
        </w:rPr>
      </w:pPr>
      <w:bookmarkStart w:id="1" w:name="_Toc451594564"/>
    </w:p>
    <w:p>
      <w:pPr>
        <w:spacing w:line="360" w:lineRule="auto"/>
        <w:ind w:firstLine="480" w:firstLineChars="200"/>
        <w:outlineLvl w:val="0"/>
        <w:rPr>
          <w:rFonts w:cs="Times New Roman" w:asciiTheme="minorEastAsia" w:hAnsiTheme="minorEastAsia"/>
          <w:kern w:val="0"/>
          <w:sz w:val="24"/>
          <w:szCs w:val="24"/>
        </w:rPr>
        <w:sectPr>
          <w:headerReference r:id="rId3" w:type="default"/>
          <w:pgSz w:w="11906" w:h="16838"/>
          <w:pgMar w:top="1440" w:right="1800" w:bottom="1440" w:left="1800" w:header="851" w:footer="992" w:gutter="0"/>
          <w:cols w:space="425" w:num="1"/>
          <w:docGrid w:type="lines" w:linePitch="312" w:charSpace="0"/>
        </w:sectPr>
      </w:pPr>
      <w:bookmarkStart w:id="2" w:name="_Toc16600"/>
    </w:p>
    <w:p>
      <w:pPr>
        <w:spacing w:line="360" w:lineRule="auto"/>
        <w:ind w:firstLine="480" w:firstLineChars="200"/>
        <w:outlineLvl w:val="0"/>
        <w:rPr>
          <w:rFonts w:cs="Times New Roman" w:asciiTheme="minorEastAsia" w:hAnsiTheme="minorEastAsia"/>
          <w:kern w:val="0"/>
          <w:sz w:val="24"/>
          <w:szCs w:val="24"/>
        </w:rPr>
      </w:pPr>
      <w:r>
        <w:rPr>
          <w:rFonts w:hint="eastAsia" w:cs="Times New Roman" w:asciiTheme="minorEastAsia" w:hAnsiTheme="minorEastAsia"/>
          <w:kern w:val="0"/>
          <w:sz w:val="24"/>
          <w:szCs w:val="24"/>
        </w:rPr>
        <w:t>一、前  言</w:t>
      </w:r>
      <w:bookmarkEnd w:id="1"/>
      <w:bookmarkEnd w:id="2"/>
    </w:p>
    <w:p>
      <w:pPr>
        <w:spacing w:line="360" w:lineRule="auto"/>
        <w:ind w:firstLine="480" w:firstLineChars="200"/>
        <w:outlineLvl w:val="1"/>
        <w:rPr>
          <w:rFonts w:cs="Times New Roman" w:asciiTheme="minorEastAsia" w:hAnsiTheme="minorEastAsia"/>
          <w:kern w:val="0"/>
          <w:sz w:val="24"/>
          <w:szCs w:val="24"/>
        </w:rPr>
      </w:pPr>
      <w:bookmarkStart w:id="3" w:name="_Toc18094"/>
      <w:r>
        <w:rPr>
          <w:rFonts w:hint="eastAsia" w:cs="Times New Roman" w:asciiTheme="minorEastAsia" w:hAnsiTheme="minorEastAsia"/>
          <w:kern w:val="0"/>
          <w:sz w:val="24"/>
          <w:szCs w:val="24"/>
        </w:rPr>
        <w:t>（一）编制说明</w:t>
      </w:r>
      <w:bookmarkEnd w:id="3"/>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本报告为金华凯力特自动化科技有限公司（以下简称为“</w:t>
      </w:r>
      <w:r>
        <w:rPr>
          <w:rFonts w:hint="eastAsia" w:cs="Times New Roman" w:asciiTheme="minorEastAsia" w:hAnsiTheme="minorEastAsia"/>
          <w:kern w:val="0"/>
          <w:sz w:val="24"/>
          <w:szCs w:val="24"/>
          <w:highlight w:val="none"/>
          <w:lang w:val="en-US" w:eastAsia="zh-CN"/>
        </w:rPr>
        <w:t>凯力特</w:t>
      </w:r>
      <w:r>
        <w:rPr>
          <w:rFonts w:hint="eastAsia" w:cs="Times New Roman" w:asciiTheme="minorEastAsia" w:hAnsiTheme="minorEastAsia"/>
          <w:kern w:val="0"/>
          <w:sz w:val="24"/>
          <w:szCs w:val="24"/>
          <w:highlight w:val="none"/>
        </w:rPr>
        <w:t>”或“公司”）首次公开发布的《企业质量诚信报告》，系根据中华人民共和国国家标准</w:t>
      </w:r>
      <w:r>
        <w:rPr>
          <w:rFonts w:cs="Times New Roman" w:asciiTheme="minorEastAsia" w:hAnsiTheme="minorEastAsia"/>
          <w:kern w:val="0"/>
          <w:sz w:val="24"/>
          <w:szCs w:val="24"/>
          <w:highlight w:val="none"/>
        </w:rPr>
        <w:t>GB/T 29467-2012</w:t>
      </w:r>
      <w:r>
        <w:rPr>
          <w:rFonts w:hint="eastAsia" w:cs="Times New Roman" w:asciiTheme="minorEastAsia" w:hAnsiTheme="minorEastAsia"/>
          <w:kern w:val="0"/>
          <w:sz w:val="24"/>
          <w:szCs w:val="24"/>
          <w:highlight w:val="none"/>
        </w:rPr>
        <w:t>《企业质量诚信管理实施规范》和GB/T 31870-2015《企业质量信用报告编写指南》的规定，结合本公司</w:t>
      </w:r>
      <w:r>
        <w:rPr>
          <w:rFonts w:cs="Times New Roman" w:asciiTheme="minorEastAsia" w:hAnsiTheme="minorEastAsia"/>
          <w:kern w:val="0"/>
          <w:sz w:val="24"/>
          <w:szCs w:val="24"/>
          <w:highlight w:val="none"/>
        </w:rPr>
        <w:t>202</w:t>
      </w:r>
      <w:r>
        <w:rPr>
          <w:rFonts w:hint="eastAsia" w:cs="Times New Roman" w:asciiTheme="minorEastAsia" w:hAnsiTheme="minorEastAsia"/>
          <w:kern w:val="0"/>
          <w:sz w:val="24"/>
          <w:szCs w:val="24"/>
          <w:highlight w:val="none"/>
          <w:lang w:val="en-US" w:eastAsia="zh-CN"/>
        </w:rPr>
        <w:t>2</w:t>
      </w:r>
      <w:r>
        <w:rPr>
          <w:rFonts w:hint="eastAsia" w:cs="Times New Roman" w:asciiTheme="minorEastAsia" w:hAnsiTheme="minorEastAsia"/>
          <w:kern w:val="0"/>
          <w:sz w:val="24"/>
          <w:szCs w:val="24"/>
          <w:highlight w:val="none"/>
        </w:rPr>
        <w:t>年质量诚信体系建设情况编制而成。</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本公司保证本报告中所载资料在质量管理、产品质量责任、质量诚信管理等方面的理念、制度、采取的措施和取得的绩效等不存在任何虚假记载、误导性陈述，并对其内容的真实性、准确性承担责任。</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报告组织范围：金华凯力特自动化科技有限公司</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报告发布时间：202</w:t>
      </w:r>
      <w:r>
        <w:rPr>
          <w:rFonts w:hint="eastAsia" w:cs="Times New Roman" w:asciiTheme="minorEastAsia" w:hAnsiTheme="minorEastAsia"/>
          <w:kern w:val="0"/>
          <w:sz w:val="24"/>
          <w:szCs w:val="24"/>
          <w:highlight w:val="none"/>
          <w:lang w:val="en-US" w:eastAsia="zh-CN"/>
        </w:rPr>
        <w:t>2</w:t>
      </w:r>
      <w:r>
        <w:rPr>
          <w:rFonts w:hint="eastAsia" w:cs="Times New Roman" w:asciiTheme="minorEastAsia" w:hAnsiTheme="minorEastAsia"/>
          <w:kern w:val="0"/>
          <w:sz w:val="24"/>
          <w:szCs w:val="24"/>
          <w:highlight w:val="none"/>
        </w:rPr>
        <w:t>年0</w:t>
      </w:r>
      <w:r>
        <w:rPr>
          <w:rFonts w:cs="Times New Roman" w:asciiTheme="minorEastAsia" w:hAnsiTheme="minorEastAsia"/>
          <w:kern w:val="0"/>
          <w:sz w:val="24"/>
          <w:szCs w:val="24"/>
          <w:highlight w:val="none"/>
        </w:rPr>
        <w:t>1</w:t>
      </w:r>
      <w:r>
        <w:rPr>
          <w:rFonts w:hint="eastAsia" w:cs="Times New Roman" w:asciiTheme="minorEastAsia" w:hAnsiTheme="minorEastAsia"/>
          <w:kern w:val="0"/>
          <w:sz w:val="24"/>
          <w:szCs w:val="24"/>
          <w:highlight w:val="none"/>
        </w:rPr>
        <w:t>月</w:t>
      </w:r>
      <w:r>
        <w:rPr>
          <w:rFonts w:cs="Times New Roman" w:asciiTheme="minorEastAsia" w:hAnsiTheme="minorEastAsia"/>
          <w:kern w:val="0"/>
          <w:sz w:val="24"/>
          <w:szCs w:val="24"/>
          <w:highlight w:val="none"/>
        </w:rPr>
        <w:t>1</w:t>
      </w:r>
      <w:r>
        <w:rPr>
          <w:rFonts w:hint="eastAsia" w:cs="Times New Roman" w:asciiTheme="minorEastAsia" w:hAnsiTheme="minorEastAsia"/>
          <w:kern w:val="0"/>
          <w:sz w:val="24"/>
          <w:szCs w:val="24"/>
          <w:highlight w:val="none"/>
        </w:rPr>
        <w:t>日至202</w:t>
      </w:r>
      <w:r>
        <w:rPr>
          <w:rFonts w:hint="eastAsia" w:cs="Times New Roman" w:asciiTheme="minorEastAsia" w:hAnsiTheme="minorEastAsia"/>
          <w:kern w:val="0"/>
          <w:sz w:val="24"/>
          <w:szCs w:val="24"/>
          <w:highlight w:val="none"/>
          <w:lang w:val="en-US" w:eastAsia="zh-CN"/>
        </w:rPr>
        <w:t>2</w:t>
      </w:r>
      <w:r>
        <w:rPr>
          <w:rFonts w:hint="eastAsia" w:cs="Times New Roman" w:asciiTheme="minorEastAsia" w:hAnsiTheme="minorEastAsia"/>
          <w:kern w:val="0"/>
          <w:sz w:val="24"/>
          <w:szCs w:val="24"/>
          <w:highlight w:val="none"/>
        </w:rPr>
        <w:t>年</w:t>
      </w:r>
      <w:r>
        <w:rPr>
          <w:rFonts w:cs="Times New Roman" w:asciiTheme="minorEastAsia" w:hAnsiTheme="minorEastAsia"/>
          <w:kern w:val="0"/>
          <w:sz w:val="24"/>
          <w:szCs w:val="24"/>
          <w:highlight w:val="none"/>
        </w:rPr>
        <w:t>12</w:t>
      </w:r>
      <w:r>
        <w:rPr>
          <w:rFonts w:hint="eastAsia" w:cs="Times New Roman" w:asciiTheme="minorEastAsia" w:hAnsiTheme="minorEastAsia"/>
          <w:kern w:val="0"/>
          <w:sz w:val="24"/>
          <w:szCs w:val="24"/>
          <w:highlight w:val="none"/>
        </w:rPr>
        <w:t>月</w:t>
      </w:r>
      <w:r>
        <w:rPr>
          <w:rFonts w:cs="Times New Roman" w:asciiTheme="minorEastAsia" w:hAnsiTheme="minorEastAsia"/>
          <w:kern w:val="0"/>
          <w:sz w:val="24"/>
          <w:szCs w:val="24"/>
          <w:highlight w:val="none"/>
        </w:rPr>
        <w:t>3</w:t>
      </w:r>
      <w:r>
        <w:rPr>
          <w:rFonts w:hint="eastAsia" w:cs="Times New Roman" w:asciiTheme="minorEastAsia" w:hAnsiTheme="minorEastAsia"/>
          <w:kern w:val="0"/>
          <w:sz w:val="24"/>
          <w:szCs w:val="24"/>
          <w:highlight w:val="none"/>
        </w:rPr>
        <w:t>1日期间</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报告发布周期:1次/年</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报告数据说明:报告内所涉数据来源于公司,数据真实有效。</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报告获取方式：公司网站</w:t>
      </w:r>
      <w:bookmarkStart w:id="4" w:name="_Toc13821"/>
      <w:r>
        <w:rPr>
          <w:rFonts w:hint="eastAsia" w:cs="Times New Roman" w:asciiTheme="minorEastAsia" w:hAnsiTheme="minorEastAsia"/>
          <w:kern w:val="0"/>
          <w:sz w:val="24"/>
          <w:szCs w:val="24"/>
          <w:highlight w:val="none"/>
        </w:rPr>
        <w:t>https://www.calet.com.cn</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（二）总经理致辞</w:t>
      </w:r>
      <w:bookmarkEnd w:id="4"/>
    </w:p>
    <w:p>
      <w:pPr>
        <w:spacing w:line="360" w:lineRule="auto"/>
        <w:ind w:firstLine="480" w:firstLineChars="200"/>
        <w:rPr>
          <w:rFonts w:cs="Times New Roman" w:asciiTheme="minorEastAsia" w:hAnsiTheme="minorEastAsia"/>
          <w:kern w:val="0"/>
          <w:sz w:val="24"/>
          <w:szCs w:val="24"/>
          <w:highlight w:val="none"/>
        </w:rPr>
      </w:pPr>
      <w:r>
        <w:rPr>
          <w:rFonts w:cs="Times New Roman" w:asciiTheme="minorEastAsia" w:hAnsiTheme="minorEastAsia"/>
          <w:kern w:val="0"/>
          <w:sz w:val="24"/>
          <w:szCs w:val="24"/>
          <w:highlight w:val="none"/>
        </w:rPr>
        <w:t>尊敬的</w:t>
      </w:r>
      <w:r>
        <w:rPr>
          <w:rFonts w:hint="eastAsia" w:cs="Times New Roman" w:asciiTheme="minorEastAsia" w:hAnsiTheme="minorEastAsia"/>
          <w:kern w:val="0"/>
          <w:sz w:val="24"/>
          <w:szCs w:val="24"/>
          <w:highlight w:val="none"/>
        </w:rPr>
        <w:t>市场监管</w:t>
      </w:r>
      <w:r>
        <w:rPr>
          <w:rFonts w:cs="Times New Roman" w:asciiTheme="minorEastAsia" w:hAnsiTheme="minorEastAsia"/>
          <w:kern w:val="0"/>
          <w:sz w:val="24"/>
          <w:szCs w:val="24"/>
          <w:highlight w:val="none"/>
        </w:rPr>
        <w:t>部门、各界朋友及同仁：</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金华凯力特自动化科技有限公司</w:t>
      </w:r>
      <w:r>
        <w:rPr>
          <w:rFonts w:cs="Times New Roman" w:asciiTheme="minorEastAsia" w:hAnsiTheme="minorEastAsia"/>
          <w:kern w:val="0"/>
          <w:sz w:val="24"/>
          <w:szCs w:val="24"/>
          <w:highlight w:val="none"/>
        </w:rPr>
        <w:t>衷心感谢社会各界广大用户的厚爱、支持与合作！ </w:t>
      </w:r>
    </w:p>
    <w:p>
      <w:pPr>
        <w:spacing w:line="360" w:lineRule="auto"/>
        <w:ind w:firstLine="480" w:firstLineChars="200"/>
        <w:rPr>
          <w:rFonts w:cs="Times New Roman" w:asciiTheme="minorEastAsia" w:hAnsiTheme="minorEastAsia"/>
          <w:kern w:val="0"/>
          <w:sz w:val="24"/>
          <w:szCs w:val="24"/>
          <w:highlight w:val="none"/>
        </w:rPr>
      </w:pPr>
      <w:r>
        <w:rPr>
          <w:rFonts w:cs="Times New Roman" w:asciiTheme="minorEastAsia" w:hAnsiTheme="minorEastAsia"/>
          <w:kern w:val="0"/>
          <w:sz w:val="24"/>
          <w:szCs w:val="24"/>
          <w:highlight w:val="none"/>
        </w:rPr>
        <w:t>我公司拥有先进的生产工艺和设备，建立了严格的质量控制体系，致力于</w:t>
      </w:r>
      <w:r>
        <w:rPr>
          <w:rFonts w:hint="eastAsia" w:cs="Times New Roman" w:asciiTheme="minorEastAsia" w:hAnsiTheme="minorEastAsia"/>
          <w:kern w:val="0"/>
          <w:sz w:val="24"/>
          <w:szCs w:val="24"/>
          <w:highlight w:val="none"/>
        </w:rPr>
        <w:t>做一个有道德有责任的企业</w:t>
      </w:r>
      <w:r>
        <w:rPr>
          <w:rFonts w:cs="Times New Roman" w:asciiTheme="minorEastAsia" w:hAnsiTheme="minorEastAsia"/>
          <w:kern w:val="0"/>
          <w:sz w:val="24"/>
          <w:szCs w:val="24"/>
          <w:highlight w:val="none"/>
        </w:rPr>
        <w:t>。</w:t>
      </w:r>
    </w:p>
    <w:p>
      <w:pPr>
        <w:spacing w:line="360" w:lineRule="auto"/>
        <w:ind w:firstLine="480" w:firstLineChars="200"/>
        <w:rPr>
          <w:rFonts w:hint="eastAsia" w:cs="Times New Roman" w:asciiTheme="minorEastAsia" w:hAnsiTheme="minorEastAsia"/>
          <w:kern w:val="0"/>
          <w:sz w:val="24"/>
          <w:szCs w:val="24"/>
        </w:rPr>
      </w:pPr>
      <w:r>
        <w:rPr>
          <w:rFonts w:cs="Times New Roman" w:asciiTheme="minorEastAsia" w:hAnsiTheme="minorEastAsia"/>
          <w:kern w:val="0"/>
          <w:sz w:val="24"/>
          <w:szCs w:val="24"/>
          <w:highlight w:val="none"/>
        </w:rPr>
        <w:t>公司始终本着“</w:t>
      </w:r>
      <w:r>
        <w:rPr>
          <w:rFonts w:hint="eastAsia" w:cs="Times New Roman" w:asciiTheme="minorEastAsia" w:hAnsiTheme="minorEastAsia"/>
          <w:kern w:val="0"/>
          <w:sz w:val="24"/>
          <w:szCs w:val="24"/>
          <w:highlight w:val="none"/>
        </w:rPr>
        <w:t>创新不停，求精不止”的宗旨和“智慧、勤实、共赢、持续”</w:t>
      </w:r>
      <w:r>
        <w:rPr>
          <w:rFonts w:hint="eastAsia" w:cs="Times New Roman" w:asciiTheme="minorEastAsia" w:hAnsiTheme="minorEastAsia"/>
          <w:kern w:val="0"/>
          <w:sz w:val="24"/>
          <w:szCs w:val="24"/>
        </w:rPr>
        <w:t>的核心价值观，是一家致力于智能机械手设计、生产和销售，集光、机、电和信息一体化的科技型企业，致力于为客户提供最佳的自动化整体解决方案和最优质的服务。</w:t>
      </w:r>
      <w:bookmarkStart w:id="42" w:name="_GoBack"/>
      <w:bookmarkEnd w:id="42"/>
      <w:r>
        <w:rPr>
          <w:rFonts w:hint="eastAsia" w:cs="Times New Roman" w:asciiTheme="minorEastAsia" w:hAnsiTheme="minorEastAsia"/>
          <w:kern w:val="0"/>
          <w:sz w:val="24"/>
          <w:szCs w:val="24"/>
        </w:rPr>
        <w:t>目前，公司产品主要销往长三角、珠三角、渤海湾等地区，为塑料制品、电动工具、汽摩配、化妆品包材、日用品、医疗设备等领域提供配套产品与服务，服务客户包括公牛集团、天能集团、康德莱集团、哈尔斯等大型知名企业。近年来，公司注塑机机械手产品市场份额在金华地区一直处于领先地位，省内也长居前三。</w:t>
      </w:r>
    </w:p>
    <w:p>
      <w:pPr>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公司自创立以来，得到了各级领导和社会各界朋友的关心和帮助，得到了各位</w:t>
      </w:r>
      <w:r>
        <w:rPr>
          <w:rFonts w:hint="eastAsia" w:cs="Times New Roman" w:asciiTheme="minorEastAsia" w:hAnsiTheme="minorEastAsia"/>
          <w:kern w:val="0"/>
          <w:sz w:val="24"/>
          <w:szCs w:val="24"/>
        </w:rPr>
        <w:t>客户</w:t>
      </w:r>
      <w:r>
        <w:rPr>
          <w:rFonts w:cs="Times New Roman" w:asciiTheme="minorEastAsia" w:hAnsiTheme="minorEastAsia"/>
          <w:kern w:val="0"/>
          <w:sz w:val="24"/>
          <w:szCs w:val="24"/>
        </w:rPr>
        <w:t>和供应商朋友的可贵支持，在此，我谨代表公司全体员工向关心和支持过我们公司发展的各位领导、各界朋友和全体新老客户表示最诚挚的谢意！</w:t>
      </w:r>
    </w:p>
    <w:p>
      <w:pPr>
        <w:spacing w:line="360" w:lineRule="auto"/>
        <w:ind w:firstLine="480" w:firstLineChars="200"/>
        <w:outlineLvl w:val="1"/>
        <w:rPr>
          <w:rFonts w:cs="Times New Roman" w:asciiTheme="minorEastAsia" w:hAnsiTheme="minorEastAsia"/>
          <w:kern w:val="0"/>
          <w:sz w:val="24"/>
          <w:szCs w:val="24"/>
        </w:rPr>
      </w:pPr>
      <w:bookmarkStart w:id="5" w:name="_Toc451594565"/>
      <w:bookmarkStart w:id="6" w:name="_Toc13647"/>
      <w:bookmarkStart w:id="7" w:name="_Toc515451667"/>
      <w:bookmarkStart w:id="8" w:name="_Toc451594566"/>
      <w:r>
        <w:rPr>
          <w:rFonts w:hint="eastAsia" w:cs="Times New Roman" w:asciiTheme="minorEastAsia" w:hAnsiTheme="minorEastAsia"/>
          <w:kern w:val="0"/>
          <w:sz w:val="24"/>
          <w:szCs w:val="24"/>
        </w:rPr>
        <w:t>（三）公司简介</w:t>
      </w:r>
      <w:bookmarkEnd w:id="5"/>
      <w:bookmarkEnd w:id="6"/>
      <w:bookmarkEnd w:id="7"/>
    </w:p>
    <w:bookmarkEnd w:id="8"/>
    <w:p>
      <w:pPr>
        <w:pStyle w:val="19"/>
        <w:spacing w:line="360" w:lineRule="auto"/>
        <w:ind w:firstLine="439" w:firstLineChars="183"/>
        <w:jc w:val="left"/>
        <w:rPr>
          <w:rFonts w:hint="eastAsia" w:ascii="宋体" w:hAnsi="宋体"/>
          <w:szCs w:val="24"/>
          <w:highlight w:val="none"/>
        </w:rPr>
      </w:pPr>
      <w:bookmarkStart w:id="9" w:name="_Hlk112429603"/>
      <w:bookmarkStart w:id="10" w:name="_Toc8329"/>
      <w:bookmarkStart w:id="11" w:name="_Toc451594567"/>
      <w:bookmarkStart w:id="12" w:name="_Toc515451669"/>
      <w:r>
        <w:rPr>
          <w:rFonts w:hint="eastAsia" w:ascii="宋体" w:hAnsi="宋体"/>
          <w:szCs w:val="24"/>
          <w:highlight w:val="none"/>
        </w:rPr>
        <w:t>金华凯力特自动化科技有限公司（以下简称“凯力特”或“公司”）创建于2004年3月，位于浙江省金华市国家级经济技术开发区内，注册资本1039万元，资产总额达9245万元，</w:t>
      </w:r>
      <w:r>
        <w:rPr>
          <w:rFonts w:hint="eastAsia" w:ascii="宋体" w:hAnsi="宋体"/>
          <w:b/>
          <w:bCs/>
          <w:szCs w:val="24"/>
          <w:highlight w:val="none"/>
        </w:rPr>
        <w:t>是一家致力于智能机械手设计、生产和销售，集光、机、电和信息一体化的科技型企业，致力于为客户提供最佳的自动化整体解决方案和最优质的服务。</w:t>
      </w:r>
      <w:r>
        <w:rPr>
          <w:rFonts w:hint="eastAsia" w:ascii="宋体" w:hAnsi="宋体"/>
          <w:szCs w:val="24"/>
          <w:highlight w:val="none"/>
        </w:rPr>
        <w:t>2021年度，公司实现</w:t>
      </w:r>
      <w:r>
        <w:rPr>
          <w:rFonts w:hint="eastAsia" w:ascii="宋体" w:hAnsi="宋体"/>
          <w:b/>
          <w:bCs/>
          <w:szCs w:val="24"/>
          <w:highlight w:val="none"/>
        </w:rPr>
        <w:t>销售收入5279万元，同比增长32%，</w:t>
      </w:r>
      <w:r>
        <w:rPr>
          <w:rFonts w:hint="eastAsia" w:ascii="宋体" w:hAnsi="宋体"/>
          <w:szCs w:val="24"/>
          <w:highlight w:val="none"/>
        </w:rPr>
        <w:t>显示出了强劲的增长性；同时，公司</w:t>
      </w:r>
      <w:r>
        <w:rPr>
          <w:rFonts w:hint="eastAsia" w:ascii="宋体" w:hAnsi="宋体"/>
          <w:b/>
          <w:bCs/>
          <w:szCs w:val="24"/>
          <w:highlight w:val="none"/>
        </w:rPr>
        <w:t>近3年共上缴纳税756万元，</w:t>
      </w:r>
      <w:r>
        <w:rPr>
          <w:rFonts w:hint="eastAsia" w:ascii="宋体" w:hAnsi="宋体"/>
          <w:szCs w:val="24"/>
          <w:highlight w:val="none"/>
        </w:rPr>
        <w:t>体现了公司的社会担当。</w:t>
      </w:r>
    </w:p>
    <w:p>
      <w:pPr>
        <w:pStyle w:val="19"/>
        <w:spacing w:line="360" w:lineRule="auto"/>
        <w:ind w:firstLine="439" w:firstLineChars="183"/>
        <w:jc w:val="left"/>
        <w:rPr>
          <w:rFonts w:hint="eastAsia" w:ascii="宋体" w:hAnsi="宋体"/>
          <w:szCs w:val="24"/>
          <w:highlight w:val="none"/>
        </w:rPr>
      </w:pPr>
      <w:r>
        <w:rPr>
          <w:rFonts w:hint="eastAsia" w:ascii="宋体" w:hAnsi="宋体"/>
          <w:szCs w:val="24"/>
          <w:highlight w:val="none"/>
        </w:rPr>
        <w:t>公司自成立以来，本着“科技、品质、服务、共赢”的企业经营理念，以市场为导向，以用户为中心，立足于高新技术，打造一流品牌，服务于用户，服务于市场，服务于社会。产品生产</w:t>
      </w:r>
      <w:r>
        <w:rPr>
          <w:rFonts w:hint="eastAsia" w:ascii="宋体" w:hAnsi="宋体"/>
          <w:b/>
          <w:bCs/>
          <w:szCs w:val="24"/>
          <w:highlight w:val="none"/>
        </w:rPr>
        <w:t>严格执行ISO9001质量管理体系标准，</w:t>
      </w:r>
      <w:r>
        <w:rPr>
          <w:rFonts w:hint="eastAsia" w:ascii="宋体" w:hAnsi="宋体"/>
          <w:szCs w:val="24"/>
          <w:highlight w:val="none"/>
        </w:rPr>
        <w:t>贯彻“品质不是检验出来的，是生产制造出来的”质量理念，实施从供应商采购、设计开发、生产加工、质量检验及服务全过程的管理，建立了一整套完善的生产管理和质量管控体系文件，严格控制产品实现的各个环节，确保了产品的优良品质。</w:t>
      </w:r>
    </w:p>
    <w:p>
      <w:pPr>
        <w:pStyle w:val="19"/>
        <w:spacing w:line="360" w:lineRule="auto"/>
        <w:ind w:firstLine="439" w:firstLineChars="183"/>
        <w:jc w:val="left"/>
        <w:rPr>
          <w:rFonts w:hint="eastAsia" w:ascii="宋体" w:hAnsi="宋体"/>
          <w:b/>
          <w:bCs/>
          <w:szCs w:val="24"/>
          <w:highlight w:val="none"/>
        </w:rPr>
      </w:pPr>
      <w:r>
        <w:rPr>
          <w:rFonts w:hint="eastAsia" w:ascii="宋体" w:hAnsi="宋体"/>
          <w:szCs w:val="24"/>
          <w:highlight w:val="none"/>
        </w:rPr>
        <w:t>目前，公司产品主要销往长三角、珠三角、渤海湾等地区，为塑料制品、电动工具、汽摩配、化妆品包材、日用品、医疗设备等领域提供配套产品与服务，</w:t>
      </w:r>
      <w:r>
        <w:rPr>
          <w:rFonts w:hint="eastAsia" w:ascii="宋体" w:hAnsi="宋体"/>
          <w:b/>
          <w:bCs/>
          <w:szCs w:val="24"/>
          <w:highlight w:val="none"/>
        </w:rPr>
        <w:t>服务客户包括公牛集团、天能集团、康德莱集团、哈尔斯等大型知名企业。</w:t>
      </w:r>
      <w:r>
        <w:rPr>
          <w:rFonts w:hint="eastAsia" w:ascii="宋体" w:hAnsi="宋体"/>
          <w:szCs w:val="24"/>
          <w:highlight w:val="none"/>
        </w:rPr>
        <w:t>近年来，公司</w:t>
      </w:r>
      <w:r>
        <w:rPr>
          <w:rFonts w:hint="eastAsia" w:ascii="宋体" w:hAnsi="宋体"/>
          <w:b/>
          <w:bCs/>
          <w:szCs w:val="24"/>
          <w:highlight w:val="none"/>
        </w:rPr>
        <w:t>注塑机机械手产品市场份额在金华地区一直处于领先地位，省内也长居前三。</w:t>
      </w:r>
    </w:p>
    <w:p>
      <w:pPr>
        <w:pStyle w:val="19"/>
        <w:spacing w:line="360" w:lineRule="auto"/>
        <w:ind w:firstLine="439" w:firstLineChars="183"/>
        <w:jc w:val="left"/>
        <w:rPr>
          <w:rFonts w:hint="eastAsia" w:ascii="宋体" w:hAnsi="宋体"/>
          <w:szCs w:val="24"/>
          <w:highlight w:val="none"/>
        </w:rPr>
      </w:pPr>
      <w:r>
        <w:rPr>
          <w:rFonts w:hint="eastAsia" w:ascii="宋体" w:hAnsi="宋体"/>
          <w:szCs w:val="24"/>
          <w:highlight w:val="none"/>
        </w:rPr>
        <w:t>公司坚持走自主创新的道路，先后被认定为</w:t>
      </w:r>
      <w:r>
        <w:rPr>
          <w:rFonts w:hint="eastAsia" w:ascii="宋体" w:hAnsi="宋体"/>
          <w:b/>
          <w:bCs/>
          <w:szCs w:val="24"/>
          <w:highlight w:val="none"/>
        </w:rPr>
        <w:t>“国家高新技术企业”“浙江省科技型企业”“浙江省科技型中小企业”</w:t>
      </w:r>
      <w:r>
        <w:rPr>
          <w:rFonts w:hint="eastAsia" w:ascii="宋体" w:hAnsi="宋体"/>
          <w:szCs w:val="24"/>
          <w:highlight w:val="none"/>
        </w:rPr>
        <w:t>及</w:t>
      </w:r>
      <w:r>
        <w:rPr>
          <w:rFonts w:hint="eastAsia" w:ascii="宋体" w:hAnsi="宋体"/>
          <w:b/>
          <w:bCs/>
          <w:szCs w:val="24"/>
          <w:highlight w:val="none"/>
        </w:rPr>
        <w:t>“金华市专利示范企业”</w:t>
      </w:r>
      <w:r>
        <w:rPr>
          <w:rFonts w:hint="eastAsia" w:ascii="宋体" w:hAnsi="宋体"/>
          <w:szCs w:val="24"/>
          <w:highlight w:val="none"/>
        </w:rPr>
        <w:t>，建有</w:t>
      </w:r>
      <w:r>
        <w:rPr>
          <w:rFonts w:hint="eastAsia" w:ascii="宋体" w:hAnsi="宋体"/>
          <w:b/>
          <w:bCs/>
          <w:szCs w:val="24"/>
          <w:highlight w:val="none"/>
        </w:rPr>
        <w:t>省级高新技术研究开发中心</w:t>
      </w:r>
      <w:r>
        <w:rPr>
          <w:rFonts w:hint="eastAsia" w:ascii="宋体" w:hAnsi="宋体"/>
          <w:szCs w:val="24"/>
          <w:highlight w:val="none"/>
        </w:rPr>
        <w:t>，产品先后被认定为</w:t>
      </w:r>
      <w:r>
        <w:rPr>
          <w:rFonts w:hint="eastAsia" w:ascii="宋体" w:hAnsi="宋体"/>
          <w:b/>
          <w:bCs/>
          <w:szCs w:val="24"/>
          <w:highlight w:val="none"/>
        </w:rPr>
        <w:t>“国家重点新产品”“浙江省名牌产品”“浙江省装备制造业重点领域首台（套）”“浙江制造精品”、浙江省“机器换人”先进适用装备推广目录产品、“金华市高新技术产品”</w:t>
      </w:r>
      <w:r>
        <w:rPr>
          <w:rFonts w:hint="eastAsia" w:ascii="宋体" w:hAnsi="宋体"/>
          <w:szCs w:val="24"/>
          <w:highlight w:val="none"/>
        </w:rPr>
        <w:t>，荣获</w:t>
      </w:r>
      <w:r>
        <w:rPr>
          <w:rFonts w:hint="eastAsia" w:ascii="宋体" w:hAnsi="宋体"/>
          <w:b/>
          <w:bCs/>
          <w:szCs w:val="24"/>
          <w:highlight w:val="none"/>
        </w:rPr>
        <w:t>“金华市科学技术奖二等奖”</w:t>
      </w:r>
      <w:r>
        <w:rPr>
          <w:rFonts w:hint="eastAsia" w:ascii="宋体" w:hAnsi="宋体"/>
          <w:szCs w:val="24"/>
          <w:highlight w:val="none"/>
        </w:rPr>
        <w:t>及</w:t>
      </w:r>
      <w:r>
        <w:rPr>
          <w:rFonts w:hint="eastAsia" w:ascii="宋体" w:hAnsi="宋体"/>
          <w:b/>
          <w:bCs/>
          <w:szCs w:val="24"/>
          <w:highlight w:val="none"/>
        </w:rPr>
        <w:t>“第二届金华市工业设计大赛产品结构设计类三等奖”</w:t>
      </w:r>
      <w:r>
        <w:rPr>
          <w:rFonts w:hint="eastAsia" w:ascii="宋体" w:hAnsi="宋体"/>
          <w:szCs w:val="24"/>
          <w:highlight w:val="none"/>
        </w:rPr>
        <w:t>等奖项。目前，公司共</w:t>
      </w:r>
      <w:r>
        <w:rPr>
          <w:rFonts w:hint="eastAsia" w:ascii="宋体" w:hAnsi="宋体"/>
          <w:b/>
          <w:bCs/>
          <w:szCs w:val="24"/>
          <w:highlight w:val="none"/>
        </w:rPr>
        <w:t>拥有51项自主知识产权，其中发明专利1件，实用新型专利35件，外观设计专利3件，软件著作权12项，另外已有5件发明专利和2件实用新型专利申请已进入实质审查阶段。</w:t>
      </w:r>
    </w:p>
    <w:p>
      <w:pPr>
        <w:pStyle w:val="19"/>
        <w:spacing w:line="360" w:lineRule="auto"/>
        <w:ind w:firstLine="439" w:firstLineChars="183"/>
        <w:jc w:val="left"/>
        <w:rPr>
          <w:rFonts w:ascii="宋体" w:hAnsi="宋体"/>
          <w:szCs w:val="24"/>
          <w:highlight w:val="none"/>
        </w:rPr>
      </w:pPr>
      <w:r>
        <w:rPr>
          <w:rFonts w:hint="eastAsia" w:ascii="宋体" w:hAnsi="宋体"/>
          <w:szCs w:val="24"/>
          <w:highlight w:val="none"/>
        </w:rPr>
        <w:t>公司先后获得</w:t>
      </w:r>
      <w:r>
        <w:rPr>
          <w:rFonts w:hint="eastAsia" w:ascii="宋体" w:hAnsi="宋体"/>
          <w:b/>
          <w:bCs/>
          <w:szCs w:val="24"/>
          <w:highlight w:val="none"/>
        </w:rPr>
        <w:t>“安全生产标准化三级企业”、浙江省“机器换人”工程服务公司、“浙江名牌产品”、金华市“机器换人”推荐服务商、金华市“机器换人”示范试点企业、“金华市著名商标”</w:t>
      </w:r>
      <w:r>
        <w:rPr>
          <w:rFonts w:hint="eastAsia" w:ascii="宋体" w:hAnsi="宋体"/>
          <w:szCs w:val="24"/>
          <w:highlight w:val="none"/>
        </w:rPr>
        <w:t>等荣誉。凯力特将以更优秀的产品和完善的服务与广大客户携手共进，共创辉煌！</w:t>
      </w:r>
    </w:p>
    <w:bookmarkEnd w:id="9"/>
    <w:p>
      <w:pPr>
        <w:pStyle w:val="19"/>
        <w:spacing w:line="360" w:lineRule="auto"/>
        <w:ind w:firstLine="439" w:firstLineChars="183"/>
        <w:jc w:val="left"/>
        <w:rPr>
          <w:rFonts w:ascii="宋体" w:hAnsi="宋体"/>
          <w:szCs w:val="24"/>
          <w:highlight w:val="none"/>
        </w:rPr>
      </w:pPr>
      <w:r>
        <w:rPr>
          <w:rFonts w:hint="eastAsia" w:ascii="宋体" w:hAnsi="宋体"/>
          <w:szCs w:val="24"/>
          <w:highlight w:val="none"/>
        </w:rPr>
        <w:t>全球经济一体化的趋势下，</w:t>
      </w:r>
      <w:r>
        <w:rPr>
          <w:rFonts w:hint="eastAsia" w:ascii="宋体" w:hAnsi="宋体"/>
          <w:szCs w:val="24"/>
          <w:highlight w:val="none"/>
          <w:lang w:val="en-US" w:eastAsia="zh-CN"/>
        </w:rPr>
        <w:t>凯力特</w:t>
      </w:r>
      <w:r>
        <w:rPr>
          <w:rFonts w:hint="eastAsia" w:ascii="宋体" w:hAnsi="宋体"/>
          <w:szCs w:val="24"/>
          <w:highlight w:val="none"/>
        </w:rPr>
        <w:t>将继续深钻专业领域，提升自身技术高度，完善产品结构，优化全球服务网络平台朝着拥有国际先进技术和文化的企业方向迈进！</w:t>
      </w:r>
    </w:p>
    <w:p>
      <w:pPr>
        <w:spacing w:line="360" w:lineRule="auto"/>
        <w:ind w:firstLine="480" w:firstLineChars="200"/>
        <w:outlineLvl w:val="0"/>
        <w:rPr>
          <w:rFonts w:cs="Times New Roman" w:asciiTheme="minorEastAsia" w:hAnsiTheme="minorEastAsia"/>
          <w:kern w:val="0"/>
          <w:sz w:val="24"/>
          <w:szCs w:val="24"/>
        </w:rPr>
      </w:pPr>
      <w:r>
        <w:rPr>
          <w:rFonts w:hint="eastAsia" w:cs="Times New Roman" w:asciiTheme="minorEastAsia" w:hAnsiTheme="minorEastAsia"/>
          <w:kern w:val="0"/>
          <w:sz w:val="24"/>
          <w:szCs w:val="24"/>
        </w:rPr>
        <w:t>二、企业质量管理</w:t>
      </w:r>
      <w:bookmarkEnd w:id="10"/>
      <w:bookmarkEnd w:id="11"/>
      <w:bookmarkEnd w:id="12"/>
    </w:p>
    <w:p>
      <w:pPr>
        <w:spacing w:line="360" w:lineRule="auto"/>
        <w:ind w:firstLine="480" w:firstLineChars="200"/>
        <w:outlineLvl w:val="1"/>
        <w:rPr>
          <w:rFonts w:cs="Times New Roman" w:asciiTheme="minorEastAsia" w:hAnsiTheme="minorEastAsia"/>
          <w:kern w:val="0"/>
          <w:sz w:val="24"/>
          <w:szCs w:val="24"/>
        </w:rPr>
      </w:pPr>
      <w:bookmarkStart w:id="13" w:name="_Toc515451668"/>
      <w:bookmarkStart w:id="14" w:name="_Toc28792"/>
      <w:r>
        <w:rPr>
          <w:rFonts w:hint="eastAsia" w:cs="Times New Roman" w:asciiTheme="minorEastAsia" w:hAnsiTheme="minorEastAsia"/>
          <w:kern w:val="0"/>
          <w:sz w:val="24"/>
          <w:szCs w:val="24"/>
        </w:rPr>
        <w:t>（一）企业质量理念</w:t>
      </w:r>
      <w:bookmarkEnd w:id="13"/>
      <w:bookmarkEnd w:id="14"/>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rPr>
        <w:t>公司成立之初，便致力于打造高质量产品，将产品质量视为企业生存和发展的重要基石，</w:t>
      </w:r>
      <w:r>
        <w:rPr>
          <w:rFonts w:cs="Times New Roman" w:asciiTheme="minorEastAsia" w:hAnsiTheme="minorEastAsia"/>
          <w:kern w:val="0"/>
          <w:sz w:val="24"/>
          <w:szCs w:val="24"/>
        </w:rPr>
        <w:t>公司</w:t>
      </w:r>
      <w:r>
        <w:rPr>
          <w:rFonts w:hint="eastAsia" w:cs="Times New Roman" w:asciiTheme="minorEastAsia" w:hAnsiTheme="minorEastAsia"/>
          <w:kern w:val="0"/>
          <w:sz w:val="24"/>
          <w:szCs w:val="24"/>
        </w:rPr>
        <w:t>先后通过了</w:t>
      </w:r>
      <w:r>
        <w:rPr>
          <w:rFonts w:cs="Times New Roman" w:asciiTheme="minorEastAsia" w:hAnsiTheme="minorEastAsia"/>
          <w:kern w:val="0"/>
          <w:sz w:val="24"/>
          <w:szCs w:val="24"/>
          <w:highlight w:val="none"/>
        </w:rPr>
        <w:t>ISO9001</w:t>
      </w:r>
      <w:r>
        <w:rPr>
          <w:rFonts w:hint="eastAsia" w:cs="Times New Roman" w:asciiTheme="minorEastAsia" w:hAnsiTheme="minorEastAsia"/>
          <w:kern w:val="0"/>
          <w:sz w:val="24"/>
          <w:szCs w:val="24"/>
          <w:highlight w:val="none"/>
        </w:rPr>
        <w:t>、</w:t>
      </w:r>
      <w:r>
        <w:rPr>
          <w:rFonts w:cs="Times New Roman" w:asciiTheme="minorEastAsia" w:hAnsiTheme="minorEastAsia"/>
          <w:kern w:val="0"/>
          <w:sz w:val="24"/>
          <w:szCs w:val="24"/>
          <w:highlight w:val="none"/>
        </w:rPr>
        <w:t>ISO14001</w:t>
      </w:r>
      <w:r>
        <w:rPr>
          <w:rFonts w:hint="eastAsia" w:cs="Times New Roman" w:asciiTheme="minorEastAsia" w:hAnsiTheme="minorEastAsia"/>
          <w:kern w:val="0"/>
          <w:sz w:val="24"/>
          <w:szCs w:val="24"/>
          <w:highlight w:val="none"/>
        </w:rPr>
        <w:t>和</w:t>
      </w:r>
      <w:r>
        <w:rPr>
          <w:rFonts w:cs="Times New Roman" w:asciiTheme="minorEastAsia" w:hAnsiTheme="minorEastAsia"/>
          <w:kern w:val="0"/>
          <w:sz w:val="24"/>
          <w:szCs w:val="24"/>
          <w:highlight w:val="none"/>
        </w:rPr>
        <w:t>ISO45001</w:t>
      </w:r>
      <w:r>
        <w:rPr>
          <w:rFonts w:hint="eastAsia" w:cs="Times New Roman" w:asciiTheme="minorEastAsia" w:hAnsiTheme="minorEastAsia"/>
          <w:kern w:val="0"/>
          <w:sz w:val="24"/>
          <w:szCs w:val="24"/>
          <w:highlight w:val="none"/>
        </w:rPr>
        <w:t>管理体系的认证，产品实物质量达到国际领先水平。</w:t>
      </w:r>
      <w:r>
        <w:rPr>
          <w:rFonts w:hint="eastAsia" w:cs="Times New Roman" w:asciiTheme="minorEastAsia" w:hAnsiTheme="minorEastAsia"/>
          <w:kern w:val="0"/>
          <w:sz w:val="24"/>
          <w:szCs w:val="24"/>
          <w:highlight w:val="none"/>
          <w:lang w:val="en-US" w:eastAsia="zh-CN"/>
        </w:rPr>
        <w:t>凯力特</w:t>
      </w:r>
      <w:r>
        <w:rPr>
          <w:rFonts w:hint="eastAsia" w:cs="Times New Roman" w:asciiTheme="minorEastAsia" w:hAnsiTheme="minorEastAsia"/>
          <w:kern w:val="0"/>
          <w:sz w:val="24"/>
          <w:szCs w:val="24"/>
          <w:highlight w:val="none"/>
        </w:rPr>
        <w:t>的质量理念是“精致、精确、精品。”</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公司</w:t>
      </w:r>
      <w:r>
        <w:rPr>
          <w:rFonts w:cs="Times New Roman" w:asciiTheme="minorEastAsia" w:hAnsiTheme="minorEastAsia"/>
          <w:kern w:val="0"/>
          <w:sz w:val="24"/>
          <w:szCs w:val="24"/>
          <w:highlight w:val="none"/>
        </w:rPr>
        <w:t>严格按该国际质量管理体系执行，使企业产品的质量得到有力的保障，从而使企业的质量方针得以顺利推行。</w:t>
      </w:r>
      <w:r>
        <w:rPr>
          <w:rFonts w:hint="eastAsia" w:cs="Times New Roman" w:asciiTheme="minorEastAsia" w:hAnsiTheme="minorEastAsia"/>
          <w:kern w:val="0"/>
          <w:sz w:val="24"/>
          <w:szCs w:val="24"/>
          <w:highlight w:val="none"/>
        </w:rPr>
        <w:t>为从根本上加强质量管理，提高公司经营质量，公司更以卓越绩效模式的导入为契机，推行全面质量管理，运用质量统计工具，通过内部审核、自我评价、第三方审核或评价，不断寻找改进机会和持续改进的方式，迈向卓越的绩效。</w:t>
      </w:r>
      <w:r>
        <w:rPr>
          <w:rFonts w:cs="Times New Roman" w:asciiTheme="minorEastAsia" w:hAnsiTheme="minorEastAsia"/>
          <w:kern w:val="0"/>
          <w:sz w:val="24"/>
          <w:szCs w:val="24"/>
          <w:highlight w:val="none"/>
        </w:rPr>
        <w:t>自建厂以来，公司从未出现过重大质量投诉，在历年接受各级质量技术部门的抽检中，合格率均达</w:t>
      </w:r>
      <w:r>
        <w:rPr>
          <w:rFonts w:hint="eastAsia" w:cs="Times New Roman" w:asciiTheme="minorEastAsia" w:hAnsiTheme="minorEastAsia"/>
          <w:kern w:val="0"/>
          <w:sz w:val="24"/>
          <w:szCs w:val="24"/>
          <w:highlight w:val="none"/>
        </w:rPr>
        <w:t>99.5</w:t>
      </w:r>
      <w:r>
        <w:rPr>
          <w:rFonts w:cs="Times New Roman" w:asciiTheme="minorEastAsia" w:hAnsiTheme="minorEastAsia"/>
          <w:kern w:val="0"/>
          <w:sz w:val="24"/>
          <w:szCs w:val="24"/>
          <w:highlight w:val="none"/>
        </w:rPr>
        <w:t>%</w:t>
      </w:r>
      <w:r>
        <w:rPr>
          <w:rFonts w:hint="eastAsia" w:cs="Times New Roman" w:asciiTheme="minorEastAsia" w:hAnsiTheme="minorEastAsia"/>
          <w:kern w:val="0"/>
          <w:sz w:val="24"/>
          <w:szCs w:val="24"/>
          <w:highlight w:val="none"/>
        </w:rPr>
        <w:t>以上</w:t>
      </w:r>
      <w:r>
        <w:rPr>
          <w:rFonts w:cs="Times New Roman" w:asciiTheme="minorEastAsia" w:hAnsiTheme="minorEastAsia"/>
          <w:kern w:val="0"/>
          <w:sz w:val="24"/>
          <w:szCs w:val="24"/>
          <w:highlight w:val="none"/>
        </w:rPr>
        <w:t>。</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公司通过会议、宣传栏、企业网站、微信公众号对企业文化、质量理念进行宣传。</w:t>
      </w:r>
    </w:p>
    <w:p>
      <w:pPr>
        <w:spacing w:line="360" w:lineRule="auto"/>
        <w:ind w:firstLine="480" w:firstLineChars="200"/>
        <w:outlineLvl w:val="1"/>
        <w:rPr>
          <w:rFonts w:cs="Times New Roman" w:asciiTheme="minorEastAsia" w:hAnsiTheme="minorEastAsia"/>
          <w:kern w:val="0"/>
          <w:sz w:val="24"/>
          <w:szCs w:val="24"/>
          <w:highlight w:val="none"/>
        </w:rPr>
      </w:pPr>
      <w:bookmarkStart w:id="15" w:name="_Toc515451670"/>
      <w:bookmarkStart w:id="16" w:name="_Toc9290"/>
      <w:r>
        <w:rPr>
          <w:rFonts w:hint="eastAsia" w:cs="Times New Roman" w:asciiTheme="minorEastAsia" w:hAnsiTheme="minorEastAsia"/>
          <w:kern w:val="0"/>
          <w:sz w:val="24"/>
          <w:szCs w:val="24"/>
          <w:highlight w:val="none"/>
        </w:rPr>
        <w:t>（二）质量管理机构</w:t>
      </w:r>
      <w:bookmarkEnd w:id="15"/>
      <w:bookmarkEnd w:id="16"/>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 xml:space="preserve"> 公司遵循质量管理“三不原则”：不接受不合格品、不制造不合格品，不流出不合格品。本着对产品质量的高度重视，公司建立质量负责人制度，制定了各料件、部件、产品的检验标准，并各司其职、相互沟通配合，从研发、采购、生产等各过程，加强产品质量把控。</w:t>
      </w:r>
      <w:bookmarkStart w:id="17" w:name="_Toc515451671"/>
    </w:p>
    <w:p>
      <w:pPr>
        <w:spacing w:line="360" w:lineRule="auto"/>
        <w:ind w:firstLine="480" w:firstLineChars="200"/>
        <w:jc w:val="center"/>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图1：质量、环境、职业健康安全管理体系组织架构图</w:t>
      </w:r>
    </w:p>
    <w:p>
      <w:pPr>
        <w:spacing w:line="360" w:lineRule="auto"/>
        <w:ind w:firstLine="480" w:firstLineChars="200"/>
        <w:jc w:val="center"/>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金华凯力特自动化科技有限公司</w:t>
      </w:r>
    </w:p>
    <w:p>
      <w:pPr>
        <w:spacing w:line="360" w:lineRule="auto"/>
        <w:jc w:val="center"/>
        <w:rPr>
          <w:rFonts w:cs="Times New Roman" w:asciiTheme="minorEastAsia" w:hAnsiTheme="minorEastAsia"/>
          <w:kern w:val="0"/>
          <w:sz w:val="24"/>
          <w:szCs w:val="24"/>
        </w:rPr>
      </w:pPr>
    </w:p>
    <w:p>
      <w:pPr>
        <w:spacing w:line="360" w:lineRule="auto"/>
        <w:ind w:firstLine="422" w:firstLineChars="200"/>
        <w:outlineLvl w:val="1"/>
        <w:rPr>
          <w:rFonts w:cs="Times New Roman" w:asciiTheme="minorEastAsia" w:hAnsiTheme="minorEastAsia"/>
          <w:kern w:val="0"/>
          <w:sz w:val="24"/>
          <w:szCs w:val="24"/>
        </w:rPr>
      </w:pPr>
      <w:bookmarkStart w:id="18" w:name="_Toc21673"/>
      <w:r>
        <w:rPr>
          <w:rFonts w:ascii="仿宋" w:hAnsi="仿宋" w:eastAsia="仿宋"/>
          <w:b/>
          <w:lang w:eastAsia="zh-CN"/>
        </w:rPr>
        <w:drawing>
          <wp:anchor distT="0" distB="0" distL="114300" distR="114300" simplePos="0" relativeHeight="251659264" behindDoc="0" locked="0" layoutInCell="1" allowOverlap="1">
            <wp:simplePos x="0" y="0"/>
            <wp:positionH relativeFrom="column">
              <wp:posOffset>-516890</wp:posOffset>
            </wp:positionH>
            <wp:positionV relativeFrom="paragraph">
              <wp:posOffset>60960</wp:posOffset>
            </wp:positionV>
            <wp:extent cx="6363970" cy="5105400"/>
            <wp:effectExtent l="0" t="0" r="17780" b="0"/>
            <wp:wrapTopAndBottom/>
            <wp:docPr id="3" name="图片 2" descr="fbe90e38058cc16a84483f7d85f6a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fbe90e38058cc16a84483f7d85f6a53"/>
                    <pic:cNvPicPr>
                      <a:picLocks noChangeAspect="1"/>
                    </pic:cNvPicPr>
                  </pic:nvPicPr>
                  <pic:blipFill>
                    <a:blip r:embed="rId5"/>
                    <a:stretch>
                      <a:fillRect/>
                    </a:stretch>
                  </pic:blipFill>
                  <pic:spPr>
                    <a:xfrm>
                      <a:off x="0" y="0"/>
                      <a:ext cx="6363970" cy="5105400"/>
                    </a:xfrm>
                    <a:prstGeom prst="rect">
                      <a:avLst/>
                    </a:prstGeom>
                    <a:noFill/>
                    <a:ln>
                      <a:noFill/>
                    </a:ln>
                  </pic:spPr>
                </pic:pic>
              </a:graphicData>
            </a:graphic>
          </wp:anchor>
        </w:drawing>
      </w:r>
      <w:r>
        <w:rPr>
          <w:rFonts w:hint="eastAsia" w:cs="Times New Roman" w:asciiTheme="minorEastAsia" w:hAnsiTheme="minorEastAsia"/>
          <w:kern w:val="0"/>
          <w:sz w:val="24"/>
          <w:szCs w:val="24"/>
        </w:rPr>
        <w:t>（三）质量管理体系</w:t>
      </w:r>
      <w:bookmarkEnd w:id="17"/>
      <w:bookmarkEnd w:id="18"/>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公司自引入ISO9001质量管理体系以来，“</w:t>
      </w:r>
      <w:r>
        <w:rPr>
          <w:rFonts w:hint="eastAsia" w:cs="Times New Roman" w:asciiTheme="minorEastAsia" w:hAnsiTheme="minorEastAsia"/>
          <w:kern w:val="0"/>
          <w:sz w:val="24"/>
          <w:szCs w:val="24"/>
          <w:highlight w:val="none"/>
        </w:rPr>
        <w:t>精致、精确、精品。</w:t>
      </w:r>
      <w:r>
        <w:rPr>
          <w:rFonts w:hint="eastAsia" w:cs="Times New Roman" w:asciiTheme="minorEastAsia" w:hAnsiTheme="minorEastAsia"/>
          <w:kern w:val="0"/>
          <w:sz w:val="24"/>
          <w:szCs w:val="24"/>
        </w:rPr>
        <w:t>”为质量方针，围绕公司系列产品的设计、开发生产和销售过程，按ISO9001：201</w:t>
      </w:r>
      <w:r>
        <w:rPr>
          <w:rFonts w:cs="Times New Roman" w:asciiTheme="minorEastAsia" w:hAnsiTheme="minorEastAsia"/>
          <w:kern w:val="0"/>
          <w:sz w:val="24"/>
          <w:szCs w:val="24"/>
        </w:rPr>
        <w:t>6</w:t>
      </w:r>
      <w:r>
        <w:rPr>
          <w:rFonts w:hint="eastAsia" w:cs="Times New Roman" w:asciiTheme="minorEastAsia" w:hAnsiTheme="minorEastAsia"/>
          <w:kern w:val="0"/>
          <w:sz w:val="24"/>
          <w:szCs w:val="24"/>
        </w:rPr>
        <w:t>建立质量管理体系，形成了质量手册、程序文件和其他质量文件等，加以实施和保持，并持续改进有效性。</w:t>
      </w:r>
    </w:p>
    <w:p>
      <w:pPr>
        <w:spacing w:line="360" w:lineRule="auto"/>
        <w:ind w:firstLine="480" w:firstLineChars="200"/>
        <w:outlineLvl w:val="2"/>
        <w:rPr>
          <w:rFonts w:cs="Times New Roman" w:asciiTheme="minorEastAsia" w:hAnsiTheme="minorEastAsia"/>
          <w:kern w:val="0"/>
          <w:sz w:val="24"/>
          <w:szCs w:val="24"/>
        </w:rPr>
      </w:pPr>
      <w:r>
        <w:rPr>
          <w:rFonts w:hint="eastAsia" w:cs="Times New Roman" w:asciiTheme="minorEastAsia" w:hAnsiTheme="minorEastAsia"/>
          <w:kern w:val="0"/>
          <w:sz w:val="24"/>
          <w:szCs w:val="24"/>
        </w:rPr>
        <w:t>1、质量管理体系方针与目标</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从导入ISO9001质量管理体系，坚持产品质量的“安全可靠，持续改进”，到导入卓越绩效管理模式，推行全面质量管理，坚持“科学管理、规范生产、质量第一、顾客满意，预防为主、安全环保、遵纪守法、持续改进”，公司建立了以战略为核心，以GB/T 19580卓越绩效模式为框架的整合型全面质量管理体系，满足了顾客、股东、员工、供应商、社会和合作伙伴六大利益相关方的要求，在公司各层次建立了相应的战略规划、质量目标，并以公司绩效考核体系为依托，设立了质量考核KPI目标和质量问责制。</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1.1质量方针：</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精致、精确、精品。</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质量方针理解：</w:t>
      </w:r>
    </w:p>
    <w:p>
      <w:pPr>
        <w:spacing w:line="360" w:lineRule="auto"/>
        <w:ind w:firstLine="480" w:firstLineChars="200"/>
        <w:rPr>
          <w:rFonts w:hint="eastAsia"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精致：产品或服务应该精心制作或提供，注重细节和工艺，追求精美和精致的外观和品质。</w:t>
      </w:r>
    </w:p>
    <w:p>
      <w:pPr>
        <w:spacing w:line="360" w:lineRule="auto"/>
        <w:ind w:firstLine="480" w:firstLineChars="200"/>
        <w:rPr>
          <w:rFonts w:hint="eastAsia"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精确：产品或服务应该准确无误，符合规格和标准，确保质量可靠和稳定。</w:t>
      </w:r>
    </w:p>
    <w:p>
      <w:pPr>
        <w:spacing w:line="360" w:lineRule="auto"/>
        <w:ind w:firstLine="480" w:firstLineChars="200"/>
        <w:rPr>
          <w:rFonts w:hint="eastAsia"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精品：产品或服务应该是优质的，能够满足客户的需求和期望，具有高附加值和竞争力。</w:t>
      </w:r>
    </w:p>
    <w:p>
      <w:pPr>
        <w:spacing w:line="360" w:lineRule="auto"/>
        <w:ind w:firstLine="480" w:firstLineChars="200"/>
        <w:rPr>
          <w:rFonts w:cs="Times New Roman" w:asciiTheme="minorEastAsia" w:hAnsiTheme="minorEastAsia"/>
          <w:kern w:val="0"/>
          <w:sz w:val="24"/>
          <w:szCs w:val="24"/>
          <w:highlight w:val="yellow"/>
        </w:rPr>
      </w:pPr>
      <w:r>
        <w:rPr>
          <w:rFonts w:hint="eastAsia" w:cs="Times New Roman" w:asciiTheme="minorEastAsia" w:hAnsiTheme="minorEastAsia"/>
          <w:kern w:val="0"/>
          <w:sz w:val="24"/>
          <w:szCs w:val="24"/>
          <w:highlight w:val="none"/>
        </w:rPr>
        <w:t>这个质量方针强调了对产品或服务质量的高要求，要求企业在生产和服务过程中注重细节，追求精益求精，以提升产品的市场竞争力和客户满意度。</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cs="Times New Roman" w:asciiTheme="minorEastAsia" w:hAnsiTheme="minorEastAsia"/>
          <w:kern w:val="0"/>
          <w:sz w:val="24"/>
          <w:szCs w:val="24"/>
        </w:rPr>
        <w:t>2</w:t>
      </w:r>
      <w:r>
        <w:rPr>
          <w:rFonts w:hint="eastAsia" w:cs="Times New Roman" w:asciiTheme="minorEastAsia" w:hAnsiTheme="minorEastAsia"/>
          <w:kern w:val="0"/>
          <w:sz w:val="24"/>
          <w:szCs w:val="24"/>
        </w:rPr>
        <w:t>质量诚信方针 ：</w:t>
      </w:r>
    </w:p>
    <w:p>
      <w:pPr>
        <w:spacing w:line="360" w:lineRule="auto"/>
        <w:ind w:firstLine="480" w:firstLineChars="200"/>
        <w:rPr>
          <w:rFonts w:hint="eastAsia" w:cs="Times New Roman" w:asciiTheme="minorEastAsia" w:hAnsiTheme="minorEastAsia" w:eastAsiaTheme="minorEastAsia"/>
          <w:kern w:val="0"/>
          <w:sz w:val="24"/>
          <w:szCs w:val="24"/>
          <w:highlight w:val="none"/>
          <w:lang w:eastAsia="zh-CN"/>
        </w:rPr>
      </w:pPr>
      <w:r>
        <w:rPr>
          <w:rFonts w:hint="eastAsia" w:cs="Times New Roman" w:asciiTheme="minorEastAsia" w:hAnsiTheme="minorEastAsia"/>
          <w:kern w:val="0"/>
          <w:sz w:val="24"/>
          <w:szCs w:val="24"/>
          <w:highlight w:val="none"/>
        </w:rPr>
        <w:t>诚信、敬业、务实。</w:t>
      </w:r>
    </w:p>
    <w:p>
      <w:pPr>
        <w:spacing w:line="360" w:lineRule="auto"/>
        <w:ind w:firstLine="480" w:firstLineChars="200"/>
        <w:outlineLvl w:val="2"/>
        <w:rPr>
          <w:rFonts w:cs="Times New Roman" w:asciiTheme="minorEastAsia" w:hAnsiTheme="minorEastAsia"/>
          <w:kern w:val="0"/>
          <w:sz w:val="24"/>
          <w:szCs w:val="24"/>
        </w:rPr>
      </w:pPr>
      <w:r>
        <w:rPr>
          <w:rFonts w:hint="eastAsia" w:cs="Times New Roman" w:asciiTheme="minorEastAsia" w:hAnsiTheme="minorEastAsia"/>
          <w:kern w:val="0"/>
          <w:sz w:val="24"/>
          <w:szCs w:val="24"/>
        </w:rPr>
        <w:t>2、质量教育</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在体系运行过程中，公司运用各种科学、有效的方法，测量、分析、改进，基于PDCA的系统方法，不断持续改善。公司运用多种工具，持续改进各部门、各层次的绩效，并采用标杆对比和学习的方式，不断修正个人工作思路和方式，确保实现个人和公司整体目标。公司积极与外部进行沟通交流，适时邀请专家对公司员工进行专项培训。公司定期对各级员工开展质量教育，对质量控制点进行专项管理，确保制造过程产品质量的一致性。</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为牢固树立全体员工的诚信意识，公司每年年初制定本年度的教育培训计划。各部门负责人根据公司要求，编制教育培训计划和内容，认真组织下属的教育培训。各车间主任负责班组长及员工的诚信宣传教育工作。公司通过专题培训、书面文字进行张贴或传达、质量诚信先进员工经验交流、利用图片展示等多种方式对企业员工实施质量诚信教育。</w:t>
      </w:r>
    </w:p>
    <w:p>
      <w:pPr>
        <w:spacing w:line="360" w:lineRule="auto"/>
        <w:ind w:firstLine="480" w:firstLineChars="200"/>
        <w:outlineLvl w:val="2"/>
        <w:rPr>
          <w:rFonts w:cs="Times New Roman" w:asciiTheme="minorEastAsia" w:hAnsiTheme="minorEastAsia"/>
          <w:kern w:val="0"/>
          <w:sz w:val="24"/>
          <w:szCs w:val="24"/>
        </w:rPr>
      </w:pPr>
      <w:r>
        <w:rPr>
          <w:rFonts w:hint="eastAsia" w:cs="Times New Roman" w:asciiTheme="minorEastAsia" w:hAnsiTheme="minorEastAsia"/>
          <w:kern w:val="0"/>
          <w:sz w:val="24"/>
          <w:szCs w:val="24"/>
        </w:rPr>
        <w:t>3、质量法规及责任制度</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通过收集法律法规及其它标准、要求，制定内部相关标准，使产品达到国家法律法规和国家、行业标准的要求（部分指标超过外部要求），从产品技术上践行社会责任。同时，公司制定了《管理方针》《质量/环境/职业健康安全管理体系策划》、《管理方案》，对产品质量控制明确责任，遵循对质量事故不放过原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公司在新产品、新技术研发过程中，积极识别收集法律、法规、行业与产品标准、知识产权风险规避及合规性进行评价，以满足法律、法规以及客户的要求与期望。</w:t>
      </w:r>
    </w:p>
    <w:p>
      <w:pPr>
        <w:pStyle w:val="12"/>
        <w:spacing w:line="360" w:lineRule="auto"/>
        <w:ind w:firstLine="480" w:firstLineChars="200"/>
        <w:jc w:val="center"/>
        <w:rPr>
          <w:rFonts w:hint="eastAsia" w:asciiTheme="majorEastAsia" w:hAnsiTheme="majorEastAsia" w:eastAsiaTheme="majorEastAsia" w:cstheme="majorEastAsia"/>
          <w:kern w:val="0"/>
          <w:sz w:val="24"/>
          <w:szCs w:val="24"/>
          <w:lang w:val="en-US" w:eastAsia="zh-CN"/>
        </w:rPr>
      </w:pPr>
      <w:r>
        <w:rPr>
          <w:rFonts w:hint="eastAsia" w:asciiTheme="majorEastAsia" w:hAnsiTheme="majorEastAsia" w:eastAsiaTheme="majorEastAsia" w:cstheme="majorEastAsia"/>
          <w:sz w:val="24"/>
          <w:szCs w:val="24"/>
        </w:rPr>
        <w:t xml:space="preserve">表 </w:t>
      </w: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SEQ 表 \* ARABIC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val="en-US" w:eastAsia="zh-CN"/>
        </w:rPr>
        <w:t xml:space="preserve"> 公司所遵守的质量标准和其他相关法律</w:t>
      </w: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tblHeader/>
          <w:jc w:val="center"/>
        </w:trPr>
        <w:tc>
          <w:tcPr>
            <w:tcW w:w="1276" w:type="dxa"/>
            <w:tcBorders>
              <w:bottom w:val="single" w:color="auto" w:sz="4" w:space="0"/>
            </w:tcBorders>
            <w:vAlign w:val="center"/>
          </w:tcPr>
          <w:p>
            <w:pPr>
              <w:spacing w:line="360" w:lineRule="auto"/>
              <w:jc w:val="center"/>
              <w:rPr>
                <w:rFonts w:cs="Times New Roman" w:asciiTheme="minorEastAsia" w:hAnsiTheme="minorEastAsia"/>
                <w:kern w:val="0"/>
                <w:sz w:val="24"/>
                <w:szCs w:val="24"/>
              </w:rPr>
            </w:pPr>
            <w:r>
              <w:rPr>
                <w:rFonts w:cs="Times New Roman" w:asciiTheme="minorEastAsia" w:hAnsiTheme="minorEastAsia"/>
                <w:kern w:val="0"/>
                <w:sz w:val="24"/>
                <w:szCs w:val="24"/>
              </w:rPr>
              <w:t>类 别</w:t>
            </w:r>
          </w:p>
        </w:tc>
        <w:tc>
          <w:tcPr>
            <w:tcW w:w="7088" w:type="dxa"/>
            <w:tcBorders>
              <w:bottom w:val="single" w:color="auto" w:sz="4" w:space="0"/>
            </w:tcBorders>
            <w:vAlign w:val="center"/>
          </w:tcPr>
          <w:p>
            <w:pPr>
              <w:spacing w:line="360" w:lineRule="auto"/>
              <w:ind w:firstLine="480" w:firstLineChars="200"/>
              <w:jc w:val="center"/>
              <w:rPr>
                <w:rFonts w:cs="Times New Roman" w:asciiTheme="minorEastAsia" w:hAnsiTheme="minorEastAsia"/>
                <w:kern w:val="0"/>
                <w:sz w:val="24"/>
                <w:szCs w:val="24"/>
              </w:rPr>
            </w:pPr>
            <w:r>
              <w:rPr>
                <w:rFonts w:cs="Times New Roman" w:asciiTheme="minorEastAsia" w:hAnsiTheme="minorEastAsia"/>
                <w:kern w:val="0"/>
                <w:sz w:val="24"/>
                <w:szCs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1276" w:type="dxa"/>
            <w:vAlign w:val="center"/>
          </w:tcPr>
          <w:p>
            <w:pPr>
              <w:spacing w:line="360" w:lineRule="auto"/>
              <w:jc w:val="center"/>
              <w:rPr>
                <w:rFonts w:cs="Times New Roman" w:asciiTheme="minorEastAsia" w:hAnsiTheme="minorEastAsia"/>
                <w:kern w:val="0"/>
                <w:sz w:val="24"/>
                <w:szCs w:val="24"/>
              </w:rPr>
            </w:pPr>
            <w:r>
              <w:rPr>
                <w:rFonts w:cs="Times New Roman" w:asciiTheme="minorEastAsia" w:hAnsiTheme="minorEastAsia"/>
                <w:kern w:val="0"/>
                <w:sz w:val="24"/>
                <w:szCs w:val="24"/>
              </w:rPr>
              <w:t>员工权益</w:t>
            </w:r>
          </w:p>
          <w:p>
            <w:pPr>
              <w:spacing w:line="360" w:lineRule="auto"/>
              <w:jc w:val="center"/>
              <w:rPr>
                <w:rFonts w:cs="Times New Roman" w:asciiTheme="minorEastAsia" w:hAnsiTheme="minorEastAsia"/>
                <w:kern w:val="0"/>
                <w:sz w:val="24"/>
                <w:szCs w:val="24"/>
              </w:rPr>
            </w:pPr>
            <w:r>
              <w:rPr>
                <w:rFonts w:cs="Times New Roman" w:asciiTheme="minorEastAsia" w:hAnsiTheme="minorEastAsia"/>
                <w:kern w:val="0"/>
                <w:sz w:val="24"/>
                <w:szCs w:val="24"/>
              </w:rPr>
              <w:t>社会责任</w:t>
            </w:r>
          </w:p>
        </w:tc>
        <w:tc>
          <w:tcPr>
            <w:tcW w:w="7088" w:type="dxa"/>
            <w:vAlign w:val="center"/>
          </w:tcPr>
          <w:p>
            <w:pPr>
              <w:spacing w:line="360" w:lineRule="auto"/>
              <w:rPr>
                <w:rFonts w:cs="Times New Roman" w:asciiTheme="minorEastAsia" w:hAnsiTheme="minorEastAsia"/>
                <w:kern w:val="0"/>
                <w:sz w:val="24"/>
                <w:szCs w:val="24"/>
              </w:rPr>
            </w:pPr>
            <w:r>
              <w:rPr>
                <w:rFonts w:cs="Times New Roman" w:asciiTheme="minorEastAsia" w:hAnsiTheme="minorEastAsia"/>
                <w:kern w:val="0"/>
                <w:sz w:val="24"/>
                <w:szCs w:val="24"/>
              </w:rPr>
              <w:t>《劳动法》、《工会法》、《消费者权益保护法》、《环境保护法》、《安全生产法》、《职业病防治法》、</w:t>
            </w:r>
            <w:r>
              <w:rPr>
                <w:rFonts w:cs="Times New Roman" w:asciiTheme="minorEastAsia" w:hAnsiTheme="minorEastAsia"/>
                <w:kern w:val="0"/>
                <w:sz w:val="24"/>
                <w:szCs w:val="24"/>
                <w:highlight w:val="none"/>
              </w:rPr>
              <w:t>ISO9001</w:t>
            </w:r>
            <w:r>
              <w:rPr>
                <w:rFonts w:hint="eastAsia" w:cs="Times New Roman" w:asciiTheme="minorEastAsia" w:hAnsiTheme="minorEastAsia"/>
                <w:kern w:val="0"/>
                <w:sz w:val="24"/>
                <w:szCs w:val="24"/>
                <w:highlight w:val="none"/>
              </w:rPr>
              <w:t>标准</w:t>
            </w:r>
            <w:r>
              <w:rPr>
                <w:rFonts w:cs="Times New Roman" w:asciiTheme="minorEastAsia" w:hAnsiTheme="minorEastAsia"/>
                <w:kern w:val="0"/>
                <w:sz w:val="24"/>
                <w:szCs w:val="24"/>
                <w:highlight w:val="none"/>
              </w:rPr>
              <w:t>、ISO14001标准、ISO45001标准</w:t>
            </w:r>
            <w:r>
              <w:rPr>
                <w:rFonts w:cs="Times New Roman" w:asciiTheme="minorEastAsia" w:hAnsiTheme="minorEastAsia"/>
                <w:kern w:val="0"/>
                <w:sz w:val="24"/>
                <w:szCs w:val="24"/>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276" w:type="dxa"/>
            <w:vAlign w:val="center"/>
          </w:tcPr>
          <w:p>
            <w:pPr>
              <w:spacing w:line="360" w:lineRule="auto"/>
              <w:jc w:val="center"/>
              <w:rPr>
                <w:rFonts w:cs="Times New Roman" w:asciiTheme="minorEastAsia" w:hAnsiTheme="minorEastAsia"/>
                <w:kern w:val="0"/>
                <w:sz w:val="24"/>
                <w:szCs w:val="24"/>
              </w:rPr>
            </w:pPr>
            <w:r>
              <w:rPr>
                <w:rFonts w:cs="Times New Roman" w:asciiTheme="minorEastAsia" w:hAnsiTheme="minorEastAsia"/>
                <w:kern w:val="0"/>
                <w:sz w:val="24"/>
                <w:szCs w:val="24"/>
              </w:rPr>
              <w:t>产品标准执行与制定</w:t>
            </w:r>
          </w:p>
        </w:tc>
        <w:tc>
          <w:tcPr>
            <w:tcW w:w="7088" w:type="dxa"/>
            <w:vAlign w:val="center"/>
          </w:tcPr>
          <w:p>
            <w:pPr>
              <w:spacing w:line="360" w:lineRule="auto"/>
              <w:rPr>
                <w:rFonts w:cs="Times New Roman" w:asciiTheme="minorEastAsia" w:hAnsiTheme="minorEastAsia"/>
                <w:kern w:val="0"/>
                <w:sz w:val="24"/>
                <w:szCs w:val="24"/>
              </w:rPr>
            </w:pPr>
            <w:r>
              <w:rPr>
                <w:rFonts w:hint="eastAsia" w:cs="Times New Roman" w:asciiTheme="minorEastAsia" w:hAnsiTheme="minorEastAsia"/>
                <w:kern w:val="0"/>
                <w:sz w:val="24"/>
                <w:szCs w:val="24"/>
              </w:rPr>
              <w:t>“品字标浙江制造”团体标准</w:t>
            </w:r>
            <w:bookmarkStart w:id="19" w:name="_Hlk112429142"/>
            <w:r>
              <w:rPr>
                <w:rFonts w:hint="eastAsia" w:cs="Times New Roman" w:asciiTheme="minorEastAsia" w:hAnsiTheme="minorEastAsia"/>
                <w:kern w:val="0"/>
                <w:sz w:val="24"/>
                <w:szCs w:val="24"/>
                <w:highlight w:val="none"/>
                <w:lang w:val="en-US" w:eastAsia="zh-CN"/>
              </w:rPr>
              <w:t>3354</w:t>
            </w:r>
            <w:r>
              <w:rPr>
                <w:rFonts w:hint="eastAsia" w:cs="Times New Roman" w:asciiTheme="minorEastAsia" w:hAnsiTheme="minorEastAsia"/>
                <w:kern w:val="0"/>
                <w:sz w:val="24"/>
                <w:szCs w:val="24"/>
                <w:highlight w:val="none"/>
              </w:rPr>
              <w:t>—202</w:t>
            </w:r>
            <w:r>
              <w:rPr>
                <w:rFonts w:hint="eastAsia" w:cs="Times New Roman" w:asciiTheme="minorEastAsia" w:hAnsiTheme="minorEastAsia"/>
                <w:kern w:val="0"/>
                <w:sz w:val="24"/>
                <w:szCs w:val="24"/>
                <w:highlight w:val="none"/>
                <w:lang w:val="en-US" w:eastAsia="zh-CN"/>
              </w:rPr>
              <w:t>3</w:t>
            </w:r>
            <w:r>
              <w:rPr>
                <w:rFonts w:hint="eastAsia" w:cs="Times New Roman" w:asciiTheme="minorEastAsia" w:hAnsiTheme="minorEastAsia"/>
                <w:kern w:val="0"/>
                <w:sz w:val="24"/>
                <w:szCs w:val="24"/>
                <w:highlight w:val="none"/>
              </w:rPr>
              <w:t>《桁架式全伺服机械手》</w:t>
            </w:r>
            <w:r>
              <w:rPr>
                <w:rFonts w:hint="eastAsia" w:cs="Times New Roman" w:asciiTheme="minorEastAsia" w:hAnsiTheme="minorEastAsia"/>
                <w:kern w:val="0"/>
                <w:sz w:val="24"/>
                <w:szCs w:val="24"/>
              </w:rPr>
              <w:t>等</w:t>
            </w:r>
            <w:bookmarkEnd w:id="19"/>
            <w:r>
              <w:rPr>
                <w:rFonts w:hint="eastAsia" w:cs="Times New Roman" w:asciiTheme="minorEastAsia" w:hAnsiTheme="minorEastAsia"/>
                <w:kern w:val="0"/>
                <w:sz w:val="24"/>
                <w:szCs w:val="24"/>
              </w:rPr>
              <w:t>。</w:t>
            </w:r>
          </w:p>
        </w:tc>
      </w:tr>
    </w:tbl>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 公司制定了《内部质量审核程序》、《管理评审控制程序》，并培养内审员团队，为确保体系运行的有效性和持续改进，安排了内审、过程审核和质量稽查。对于审核中发现的不符合项，由责任部门分析原因，制定纠正或预防措施，落实整改，并验证整改效果，最终形成内部审核报告，对体系的整改及不符合项的预防提出建议，并作为管理评审的一个重要输入，报告最高管理者。</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制定了《不合格品控制程序》程序对不合格品进行了严格管控。公司对不合格品应进行标识（如经检验、试验或验证的原材料、外购件等未满足规定要求的）。返工产品返工后要进行再检测，符合规定才可转序或入库、交付。对达不到要求的降级处理或报废。当在交付或开始使用后发现不合格品时，本公司针对不合格品情况，进行分析，并采取与不合格影响或潜在影响程度相适应的的措施，并采取纠正产品进行再次验证，以证实符合要求。</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此外，公司还制定了《质量环境安全管理手册》、《持续改进控制程序》等制度，对出现的质量问题进行问责和教育，并在日常研发、生产作业中，强调系统化，通过品管圈、持续改善等活动及质量工具的展开，充分应用PDCA循环，持续改善，追求卓越。</w:t>
      </w:r>
    </w:p>
    <w:p>
      <w:pPr>
        <w:spacing w:line="360" w:lineRule="auto"/>
        <w:ind w:firstLine="480" w:firstLineChars="200"/>
        <w:outlineLvl w:val="1"/>
        <w:rPr>
          <w:rFonts w:cs="Times New Roman" w:asciiTheme="minorEastAsia" w:hAnsiTheme="minorEastAsia"/>
          <w:kern w:val="0"/>
          <w:sz w:val="24"/>
          <w:szCs w:val="24"/>
        </w:rPr>
      </w:pPr>
      <w:bookmarkStart w:id="20" w:name="_Toc451594568"/>
      <w:bookmarkStart w:id="21" w:name="_Toc31735"/>
      <w:bookmarkStart w:id="22" w:name="_Toc515451673"/>
      <w:r>
        <w:rPr>
          <w:rFonts w:hint="eastAsia" w:cs="Times New Roman" w:asciiTheme="minorEastAsia" w:hAnsiTheme="minorEastAsia"/>
          <w:kern w:val="0"/>
          <w:sz w:val="24"/>
          <w:szCs w:val="24"/>
        </w:rPr>
        <w:t>（四）质量诚信管理</w:t>
      </w:r>
      <w:bookmarkEnd w:id="20"/>
      <w:bookmarkEnd w:id="21"/>
      <w:bookmarkEnd w:id="22"/>
    </w:p>
    <w:p>
      <w:pPr>
        <w:spacing w:line="360" w:lineRule="auto"/>
        <w:ind w:firstLine="480" w:firstLineChars="200"/>
        <w:outlineLvl w:val="2"/>
        <w:rPr>
          <w:rFonts w:cs="Times New Roman" w:asciiTheme="minorEastAsia" w:hAnsiTheme="minorEastAsia"/>
          <w:kern w:val="0"/>
          <w:sz w:val="24"/>
          <w:szCs w:val="24"/>
        </w:rPr>
      </w:pPr>
      <w:bookmarkStart w:id="23" w:name="_Toc515451674"/>
      <w:r>
        <w:rPr>
          <w:rFonts w:hint="eastAsia" w:cs="Times New Roman" w:asciiTheme="minorEastAsia" w:hAnsiTheme="minorEastAsia"/>
          <w:kern w:val="0"/>
          <w:sz w:val="24"/>
          <w:szCs w:val="24"/>
        </w:rPr>
        <w:t>1、质量承诺</w:t>
      </w:r>
      <w:bookmarkEnd w:id="23"/>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a）诚信守法</w:t>
      </w:r>
    </w:p>
    <w:p>
      <w:pPr>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高层领导遵循“</w:t>
      </w:r>
      <w:r>
        <w:rPr>
          <w:rFonts w:hint="eastAsia" w:cs="Times New Roman" w:asciiTheme="minorEastAsia" w:hAnsiTheme="minorEastAsia"/>
          <w:kern w:val="0"/>
          <w:sz w:val="24"/>
          <w:szCs w:val="24"/>
        </w:rPr>
        <w:t>合作重于竞争</w:t>
      </w:r>
      <w:r>
        <w:rPr>
          <w:rFonts w:cs="Times New Roman" w:asciiTheme="minorEastAsia" w:hAnsiTheme="minorEastAsia"/>
          <w:kern w:val="0"/>
          <w:sz w:val="24"/>
          <w:szCs w:val="24"/>
        </w:rPr>
        <w:t>”的</w:t>
      </w:r>
      <w:r>
        <w:rPr>
          <w:rFonts w:hint="eastAsia" w:cs="Times New Roman" w:asciiTheme="minorEastAsia" w:hAnsiTheme="minorEastAsia"/>
          <w:kern w:val="0"/>
          <w:sz w:val="24"/>
          <w:szCs w:val="24"/>
        </w:rPr>
        <w:t>经营</w:t>
      </w:r>
      <w:r>
        <w:rPr>
          <w:rFonts w:cs="Times New Roman" w:asciiTheme="minorEastAsia" w:hAnsiTheme="minorEastAsia"/>
          <w:kern w:val="0"/>
          <w:sz w:val="24"/>
          <w:szCs w:val="24"/>
        </w:rPr>
        <w:t>理念，严格遵循《公司法》、《经济法》、《产品质量法》、《安全生产法》、《环保法》、《劳动法》以及</w:t>
      </w:r>
      <w:r>
        <w:rPr>
          <w:rFonts w:hint="eastAsia" w:cs="Times New Roman" w:asciiTheme="minorEastAsia" w:hAnsiTheme="minorEastAsia"/>
          <w:kern w:val="0"/>
          <w:sz w:val="24"/>
          <w:szCs w:val="24"/>
          <w:highlight w:val="none"/>
          <w:lang w:val="en-US" w:eastAsia="zh-CN"/>
        </w:rPr>
        <w:t>自动化设备</w:t>
      </w:r>
      <w:r>
        <w:rPr>
          <w:rFonts w:cs="Times New Roman" w:asciiTheme="minorEastAsia" w:hAnsiTheme="minorEastAsia"/>
          <w:kern w:val="0"/>
          <w:sz w:val="24"/>
          <w:szCs w:val="24"/>
        </w:rPr>
        <w:t>行业的相关法律法规，加强员工法律知识培训，配合政府部门开展普法教育活动，鼓励表彰员工的“正能量”，使诚信守法的作风深入公司全体员工的意识和行为。公司合同主动违约率为零，从不拖欠银行贷款，逾期应收账款降至合理范围，公司高层、中层领导都没有违法乱纪纪录，员工违法次数为零，在顾客、用户、公众、社会中树立了良好的信用道德形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b）满足客户需求</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高度重视技术研发，加强了研发力量的投入，以客户需求为中心，积极听取客户关于功能、质量、配置等方面的意见和建议，开展产品改进和创新活动，满足客户对产品和交期的需求。在产品质量方面，公司严格执行ISO9001质量管理体系，通过开展技术攻关、质量改进、QC小组等活动，保障产品质量安全。</w:t>
      </w:r>
    </w:p>
    <w:p>
      <w:pPr>
        <w:spacing w:line="360" w:lineRule="auto"/>
        <w:ind w:firstLine="480" w:firstLineChars="200"/>
        <w:outlineLvl w:val="2"/>
        <w:rPr>
          <w:rFonts w:cs="Times New Roman" w:asciiTheme="minorEastAsia" w:hAnsiTheme="minorEastAsia"/>
          <w:kern w:val="0"/>
          <w:sz w:val="24"/>
          <w:szCs w:val="24"/>
        </w:rPr>
      </w:pPr>
      <w:r>
        <w:rPr>
          <w:rFonts w:hint="eastAsia" w:cs="Times New Roman" w:asciiTheme="minorEastAsia" w:hAnsiTheme="minorEastAsia"/>
          <w:kern w:val="0"/>
          <w:sz w:val="24"/>
          <w:szCs w:val="24"/>
        </w:rPr>
        <w:t>2、质量管理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--质量监测</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公司应对以下内容的数据进行收集与分析：</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a.顾客满意程度调查表进行统计分析。</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b.过程产品、最终产品质量是否达到了规定的管理目标要求。</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c.与顾客、法律法规及标准要求的符合程度。</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d.供方的产品质量情况。</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e.环境/安全监测的结果，以及不符合的发生，包括事故、事件等，必要时也应进行统计分析，以利于采取纠正和预防措施。</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f.管理目标的实施情况。</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--质量追溯</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公司每年组织进行管理评审会议，评审质量、环境、职业健康安全等管理体系的适宜性、充分性和有效性，达到持续不断完善管理体系，确保公司体系方针和目标的实现，满足相关方要求。</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--质量分析</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公司通过统计口径、财务报表、专题会议等多种渠道全面收集、整理和测量产品质量的数据和信息，并对数据和信息进行分析，制定相应的改进措施。</w:t>
      </w:r>
    </w:p>
    <w:p>
      <w:pPr>
        <w:spacing w:line="360" w:lineRule="auto"/>
        <w:ind w:firstLine="480" w:firstLineChars="200"/>
        <w:outlineLvl w:val="2"/>
        <w:rPr>
          <w:rFonts w:cs="Times New Roman" w:asciiTheme="minorEastAsia" w:hAnsiTheme="minorEastAsia"/>
          <w:kern w:val="0"/>
          <w:sz w:val="24"/>
          <w:szCs w:val="24"/>
        </w:rPr>
      </w:pPr>
      <w:bookmarkStart w:id="24" w:name="_Toc515451675"/>
      <w:r>
        <w:rPr>
          <w:rFonts w:hint="eastAsia" w:cs="Times New Roman" w:asciiTheme="minorEastAsia" w:hAnsiTheme="minorEastAsia"/>
          <w:kern w:val="0"/>
          <w:sz w:val="24"/>
          <w:szCs w:val="24"/>
        </w:rPr>
        <w:t>3、运作管理</w:t>
      </w:r>
      <w:bookmarkEnd w:id="24"/>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a）产品设计诚信管理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公司产品设计与研发严格依照《设计与开发控制程序》从研发策划、过程各类活动记录、设计和开发输出、评审相关的整个过程。</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b）原材料采购诚信管理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企业根据物料对产品质量的风险程度，将物料分为A重要物资、B</w:t>
      </w:r>
      <w:r>
        <w:rPr>
          <w:rFonts w:hint="eastAsia" w:hAnsi="宋体"/>
          <w:bCs/>
          <w:sz w:val="24"/>
          <w:szCs w:val="24"/>
        </w:rPr>
        <w:t>一般物资</w:t>
      </w:r>
      <w:r>
        <w:rPr>
          <w:rFonts w:hint="eastAsia" w:cs="Times New Roman" w:asciiTheme="minorEastAsia" w:hAnsiTheme="minorEastAsia"/>
          <w:kern w:val="0"/>
          <w:sz w:val="24"/>
          <w:szCs w:val="24"/>
        </w:rPr>
        <w:t>、C</w:t>
      </w:r>
      <w:r>
        <w:rPr>
          <w:rFonts w:hint="eastAsia" w:hAnsi="宋体"/>
          <w:bCs/>
          <w:sz w:val="24"/>
          <w:szCs w:val="24"/>
        </w:rPr>
        <w:t>辅助物资</w:t>
      </w:r>
      <w:r>
        <w:rPr>
          <w:rFonts w:hint="eastAsia" w:cs="Times New Roman" w:asciiTheme="minorEastAsia" w:hAnsiTheme="minorEastAsia"/>
          <w:kern w:val="0"/>
          <w:sz w:val="24"/>
          <w:szCs w:val="24"/>
        </w:rPr>
        <w:t>三类。对A类物料供应商，除了必须符合法定的资质外，还要定期进行现场审计。对B类物料的供应商，企业首先要对该种物料进行风险分析，视供应商提供物料的质量情况决定是否需进行现场审计。对C类物料的供应商，一般只考虑审计其资质。供方经初审合格后，由采购部经理决定是否需要送样或小批试用，考察其质量。供方产品如出现严重质量问题，如发生批次产品不合格，采购员应根据进货检证单将不合格情况记录在“供方业绩评价表”上，若供方在一年内有三批，则取消合格供方资格。</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在设备采购方面，采购员对有信誉及有能力的公司进行初步查询，并由供方提供相关证明(营业执照或质量证明,许可证等)后，填写“供方调查评价表”，验证供方管理体系满足采购产品要求的能力，包括对产品质量、环境影响及安全要求和生产能力等作出评价,交采购部主管初审，必要时可进行现场调查。所有设备在使用前必须经过设备验证，确保符合产品工艺要求。</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c）生产过程诚信管理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公司生产部、技术部、安全科具体负责各品种生产管理与技术管理工作。制定并逐步完善了各种</w:t>
      </w:r>
      <w:r>
        <w:rPr>
          <w:rFonts w:hint="eastAsia" w:hAnsi="宋体"/>
          <w:sz w:val="24"/>
          <w:szCs w:val="24"/>
        </w:rPr>
        <w:t>生产计划、《监视和测量资源控制程序》、《应对风险和机遇的措施控制程序》、《设备控制程序》、《设备安全操作规程》</w:t>
      </w:r>
      <w:r>
        <w:rPr>
          <w:rFonts w:hint="eastAsia" w:cs="Times New Roman" w:asciiTheme="minorEastAsia" w:hAnsiTheme="minorEastAsia"/>
          <w:kern w:val="0"/>
          <w:sz w:val="24"/>
          <w:szCs w:val="24"/>
        </w:rPr>
        <w:t>。采用车间集中培训和班前、班后会对各岗位操作人员进行全面的岗位技能培训，持证上岗，并采用多种方式进行督查、考核，增强员工质量意识，提高操作水平，在生产过程中，各级管理人员严格履行管理职责，及时检查，及时纠正差错，保证生产秩序的稳定。</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对生产所需的原材料、辅料材料进行投产前复核，把好中间产品、成品的质量，严格执行对不合格品的“不生产、不接收、不流转”的“三不原则”，关键工序设质量控制点，督促员工做好自检、互检，专检规程，严格审批记录的管理规程，做到领用、发放和核对相统一。对每一生产步骤进行物料平衡，保证物料的投入和产品的产出数量与工艺要求相一致，确认无潜在质量隐患。</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生产记录由生产部负责审核、印制和保管。员工操作必须按要求及时填写生产记录，做到字迹清晰、内容真实、数据完整，操作人及复核人签名确认。每批生产结束后，车间统计员把记录汇总、复核，及时上交生产部，经审核无误后，按批号整理归档，由专人管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公司根据行业特点及实际情况，加强生产过程的信息化建设水平，应用</w:t>
      </w:r>
      <w:r>
        <w:rPr>
          <w:rFonts w:cs="Times New Roman" w:asciiTheme="minorEastAsia" w:hAnsiTheme="minorEastAsia"/>
          <w:kern w:val="0"/>
          <w:sz w:val="24"/>
          <w:szCs w:val="24"/>
        </w:rPr>
        <w:t>ERP</w:t>
      </w:r>
      <w:r>
        <w:rPr>
          <w:rFonts w:hint="eastAsia" w:cs="Times New Roman" w:asciiTheme="minorEastAsia" w:hAnsiTheme="minorEastAsia"/>
          <w:kern w:val="0"/>
          <w:sz w:val="24"/>
          <w:szCs w:val="24"/>
        </w:rPr>
        <w:t>系统的生产管理模块对整个过程进行数据采集和监控，对公司整个生产过程实行系统化管理，并挖掘内部潜力，发挥技术骨干人员的力量，开展对现有设备进行持续性改造或科技创新工作，对薄弱环节进行技术攻关；生产员工上岗前要经过培训及考核，建立全员培训档案，通过集中培训、班前会培训、“传、帮、带”、目视化等多种方式进行培训，强化其工作技能和质量意识。生产员工严格遵守车间纪律。</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推行精细化生产组织模式以缩短生产和交货周期，快速适应市场订单品种和数量高低起伏的变化，在降低库存基础上满足客户需求，满足了客户对电扶梯产品性能的全面了解和产品质量的进一步认可，订货率也随之提高，并且在很大程度上解决了售后质量问题，减少了售后服务工作人员的工作量，使售后服务工作安排更加柔性化。</w:t>
      </w:r>
    </w:p>
    <w:p>
      <w:pPr>
        <w:spacing w:line="360" w:lineRule="auto"/>
        <w:ind w:firstLine="480" w:firstLineChars="200"/>
        <w:outlineLvl w:val="2"/>
        <w:rPr>
          <w:rFonts w:cs="Times New Roman" w:asciiTheme="minorEastAsia" w:hAnsiTheme="minorEastAsia"/>
          <w:kern w:val="0"/>
          <w:sz w:val="24"/>
          <w:szCs w:val="24"/>
        </w:rPr>
      </w:pPr>
      <w:bookmarkStart w:id="25" w:name="_Toc515451676"/>
      <w:r>
        <w:rPr>
          <w:rFonts w:hint="eastAsia" w:cs="Times New Roman" w:asciiTheme="minorEastAsia" w:hAnsiTheme="minorEastAsia"/>
          <w:kern w:val="0"/>
          <w:sz w:val="24"/>
          <w:szCs w:val="24"/>
        </w:rPr>
        <w:t>4、营销管理</w:t>
      </w:r>
      <w:bookmarkEnd w:id="25"/>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根据战略要求，对市场进行细分，以提高资源和运作的有效性针对性。公司将顾客分为直接顾客、间接顾客两类。针对不同类型顾客确定顾客的需求与期望，针对其需求与期望来确定适当的方法，建立相应的体系与团队，建立各种渠道和方法，针对性的进行顾客需求与期望的了解。</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公司通过展览会、行业会议、行业标委会、公共媒体、互联网、外部机构等渠道，以问卷调查、面对面或电话访谈、观察查询、外部委托等方法，了解客户的需求和期望。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各部门定期搜集顾客信息，解析后确定的顾客需求信息按照不同细分市场进行分类梳理总结，形成不同顾客群的需求与期望数据库，并从中归纳出针对不同细分市场顾客群总体需求特点的汇总资料，供产品规划、产品开发设计、过程控制等决策时参考。</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rPr>
        <w:t>公司以“</w:t>
      </w:r>
      <w:r>
        <w:rPr>
          <w:rFonts w:hint="eastAsia" w:cs="Times New Roman" w:asciiTheme="minorEastAsia" w:hAnsiTheme="minorEastAsia"/>
          <w:kern w:val="0"/>
          <w:sz w:val="24"/>
          <w:szCs w:val="24"/>
          <w:highlight w:val="none"/>
        </w:rPr>
        <w:t>智慧、勤实、共赢、持续”为核心价值观，要求业务人员对于任何一位客户，不论他下单与否，都要做到热情、周到，都要尽量满足他们的所有合理需求。制订了《与产品和服务有关的要求评审控制程序》等，从各方面增加业务人员的技能和素质，提升了顾客成交率。</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公司建立顾客回访制度，采取顾客自愿形式，记录顾客联系电话、产品型号订购时间等相关信息，在顾客购买一段时间后（通常是一年内）进行电话回访，并适时推介新款，提升顾客满意度。</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公司建立及时反馈处理用户投诉意见的快速反应机制，投诉/应急处理的响应时间原则上不超过</w:t>
      </w:r>
      <w:r>
        <w:rPr>
          <w:rFonts w:cs="Times New Roman" w:asciiTheme="minorEastAsia" w:hAnsiTheme="minorEastAsia"/>
          <w:kern w:val="0"/>
          <w:sz w:val="24"/>
          <w:szCs w:val="24"/>
          <w:highlight w:val="none"/>
        </w:rPr>
        <w:t>24</w:t>
      </w:r>
      <w:r>
        <w:rPr>
          <w:rFonts w:hint="eastAsia" w:cs="Times New Roman" w:asciiTheme="minorEastAsia" w:hAnsiTheme="minorEastAsia"/>
          <w:kern w:val="0"/>
          <w:sz w:val="24"/>
          <w:szCs w:val="24"/>
          <w:highlight w:val="none"/>
        </w:rPr>
        <w:t>小时，对不可预测的变化，及时采取应对措施。</w:t>
      </w:r>
    </w:p>
    <w:p>
      <w:pPr>
        <w:spacing w:line="360" w:lineRule="auto"/>
        <w:ind w:firstLine="480" w:firstLineChars="200"/>
        <w:outlineLvl w:val="1"/>
        <w:rPr>
          <w:rFonts w:cs="Times New Roman" w:asciiTheme="minorEastAsia" w:hAnsiTheme="minorEastAsia"/>
          <w:kern w:val="0"/>
          <w:sz w:val="24"/>
          <w:szCs w:val="24"/>
          <w:highlight w:val="none"/>
        </w:rPr>
      </w:pPr>
      <w:bookmarkStart w:id="26" w:name="_Toc18678"/>
      <w:r>
        <w:rPr>
          <w:rFonts w:hint="eastAsia" w:cs="Times New Roman" w:asciiTheme="minorEastAsia" w:hAnsiTheme="minorEastAsia"/>
          <w:kern w:val="0"/>
          <w:sz w:val="24"/>
          <w:szCs w:val="24"/>
          <w:highlight w:val="none"/>
        </w:rPr>
        <w:t>（五）企业文化建设</w:t>
      </w:r>
      <w:bookmarkEnd w:id="26"/>
    </w:p>
    <w:p>
      <w:pPr>
        <w:spacing w:line="360" w:lineRule="auto"/>
        <w:ind w:firstLine="480" w:firstLineChars="200"/>
        <w:outlineLvl w:val="2"/>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1、企业使命、企业愿景、企业价值观</w:t>
      </w:r>
    </w:p>
    <w:p>
      <w:pPr>
        <w:spacing w:line="360" w:lineRule="auto"/>
        <w:ind w:firstLine="480" w:firstLineChars="200"/>
        <w:rPr>
          <w:rFonts w:cs="Times New Roman" w:asciiTheme="minorEastAsia" w:hAnsiTheme="minorEastAsia"/>
          <w:kern w:val="0"/>
          <w:sz w:val="24"/>
          <w:szCs w:val="24"/>
          <w:highlight w:val="none"/>
        </w:rPr>
      </w:pPr>
      <w:bookmarkStart w:id="27" w:name="_Hlk24613985"/>
      <w:bookmarkStart w:id="28" w:name="_Hlk24922071"/>
      <w:bookmarkStart w:id="29" w:name="_Hlk112002177"/>
      <w:r>
        <w:rPr>
          <w:rFonts w:hint="eastAsia" w:cs="Times New Roman" w:asciiTheme="minorEastAsia" w:hAnsiTheme="minorEastAsia"/>
          <w:kern w:val="0"/>
          <w:sz w:val="24"/>
          <w:szCs w:val="24"/>
          <w:highlight w:val="none"/>
        </w:rPr>
        <w:t>公司的使命：</w:t>
      </w:r>
      <w:bookmarkStart w:id="30" w:name="_Hlk112001009"/>
      <w:r>
        <w:rPr>
          <w:rFonts w:hint="eastAsia" w:ascii="宋体" w:hAnsi="宋体"/>
          <w:sz w:val="24"/>
          <w:szCs w:val="24"/>
          <w:highlight w:val="none"/>
        </w:rPr>
        <w:t>做最好的企业，出最好的产品。</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愿景：成为自动化行业中的佼佼者，助力浙江省中小企业实现智能制造。</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核心价值观：</w:t>
      </w:r>
      <w:bookmarkEnd w:id="30"/>
      <w:r>
        <w:rPr>
          <w:rFonts w:hint="eastAsia" w:cs="Times New Roman" w:asciiTheme="minorEastAsia" w:hAnsiTheme="minorEastAsia"/>
          <w:kern w:val="0"/>
          <w:sz w:val="24"/>
          <w:szCs w:val="24"/>
          <w:highlight w:val="none"/>
        </w:rPr>
        <w:t>智慧、勤实、共赢、持续。</w:t>
      </w:r>
      <w:bookmarkEnd w:id="27"/>
      <w:bookmarkEnd w:id="28"/>
    </w:p>
    <w:bookmarkEnd w:id="29"/>
    <w:p>
      <w:pPr>
        <w:spacing w:line="360" w:lineRule="auto"/>
        <w:ind w:firstLine="480" w:firstLineChars="200"/>
        <w:outlineLvl w:val="2"/>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2、品牌建设情况</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highlight w:val="none"/>
        </w:rPr>
        <w:t>金华凯力特自动化科技有限公司</w:t>
      </w:r>
      <w:r>
        <w:rPr>
          <w:rFonts w:hint="eastAsia" w:cs="Times New Roman" w:asciiTheme="minorEastAsia" w:hAnsiTheme="minorEastAsia"/>
          <w:kern w:val="0"/>
          <w:sz w:val="24"/>
          <w:szCs w:val="24"/>
        </w:rPr>
        <w:t>以产品质量赢得市场口碑，在行业内品牌形象上佳，并依托网络品牌宣传和推广，产品知名度在业界具有很高知名度，产品和服务得到用户认可，近三年来，顾客满意度一直处于上升趋势。公司在顾客与市场方面的绩效结果，包括顾客满意表明产品稳定处于在较高的水平</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公司不断壮大“精、专、新”的研发队伍，持续改善产品技术水平和质量性能，近三年来产品多次获得客户和同行认可</w:t>
      </w:r>
      <w:r>
        <w:rPr>
          <w:rFonts w:hint="eastAsia" w:cs="Times New Roman" w:asciiTheme="minorEastAsia" w:hAnsiTheme="minorEastAsia"/>
          <w:kern w:val="0"/>
          <w:sz w:val="24"/>
          <w:szCs w:val="24"/>
        </w:rPr>
        <w:t>。</w:t>
      </w:r>
    </w:p>
    <w:p>
      <w:pPr>
        <w:spacing w:line="360" w:lineRule="auto"/>
        <w:ind w:firstLine="480" w:firstLineChars="200"/>
        <w:outlineLvl w:val="1"/>
        <w:rPr>
          <w:rFonts w:cs="Times New Roman" w:asciiTheme="minorEastAsia" w:hAnsiTheme="minorEastAsia"/>
          <w:kern w:val="0"/>
          <w:sz w:val="24"/>
          <w:szCs w:val="24"/>
        </w:rPr>
      </w:pPr>
      <w:bookmarkStart w:id="31" w:name="_Toc515451678"/>
      <w:bookmarkStart w:id="32" w:name="_Toc5299"/>
      <w:r>
        <w:rPr>
          <w:rFonts w:hint="eastAsia" w:cs="Times New Roman" w:asciiTheme="minorEastAsia" w:hAnsiTheme="minorEastAsia"/>
          <w:kern w:val="0"/>
          <w:sz w:val="24"/>
          <w:szCs w:val="24"/>
        </w:rPr>
        <w:t>（六）</w:t>
      </w:r>
      <w:bookmarkEnd w:id="31"/>
      <w:r>
        <w:rPr>
          <w:rFonts w:hint="eastAsia" w:cs="Times New Roman" w:asciiTheme="minorEastAsia" w:hAnsiTheme="minorEastAsia"/>
          <w:kern w:val="0"/>
          <w:sz w:val="24"/>
          <w:szCs w:val="24"/>
        </w:rPr>
        <w:t>企业技术水平</w:t>
      </w:r>
      <w:bookmarkEnd w:id="32"/>
    </w:p>
    <w:p>
      <w:pPr>
        <w:spacing w:line="360" w:lineRule="auto"/>
        <w:ind w:firstLine="480" w:firstLineChars="200"/>
        <w:outlineLvl w:val="2"/>
        <w:rPr>
          <w:rFonts w:cs="Times New Roman" w:asciiTheme="minorEastAsia" w:hAnsiTheme="minorEastAsia"/>
          <w:kern w:val="0"/>
          <w:sz w:val="24"/>
          <w:szCs w:val="24"/>
        </w:rPr>
      </w:pPr>
      <w:r>
        <w:rPr>
          <w:rFonts w:hint="eastAsia" w:cs="Times New Roman" w:asciiTheme="minorEastAsia" w:hAnsiTheme="minorEastAsia"/>
          <w:kern w:val="0"/>
          <w:sz w:val="24"/>
          <w:szCs w:val="24"/>
        </w:rPr>
        <w:t>1、标准制修订</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公司为主起草“品字标浙江制造”团体标准</w:t>
      </w:r>
      <w:r>
        <w:rPr>
          <w:rFonts w:hint="eastAsia" w:cs="Times New Roman" w:asciiTheme="minorEastAsia" w:hAnsiTheme="minorEastAsia"/>
          <w:kern w:val="0"/>
          <w:sz w:val="24"/>
          <w:szCs w:val="24"/>
          <w:highlight w:val="none"/>
        </w:rPr>
        <w:t>3354—2023《桁架式全伺服机械手》</w:t>
      </w:r>
      <w:r>
        <w:rPr>
          <w:rFonts w:hint="eastAsia" w:cs="Times New Roman" w:asciiTheme="minorEastAsia" w:hAnsiTheme="minorEastAsia"/>
          <w:kern w:val="0"/>
          <w:sz w:val="24"/>
          <w:szCs w:val="24"/>
        </w:rPr>
        <w:t>等。</w:t>
      </w:r>
    </w:p>
    <w:p>
      <w:pPr>
        <w:spacing w:line="360" w:lineRule="auto"/>
        <w:ind w:firstLine="480" w:firstLineChars="200"/>
        <w:outlineLvl w:val="2"/>
        <w:rPr>
          <w:rFonts w:cs="Times New Roman" w:asciiTheme="minorEastAsia" w:hAnsiTheme="minorEastAsia"/>
          <w:kern w:val="0"/>
          <w:sz w:val="24"/>
          <w:szCs w:val="24"/>
        </w:rPr>
      </w:pPr>
      <w:r>
        <w:rPr>
          <w:rFonts w:hint="eastAsia" w:cs="Times New Roman" w:asciiTheme="minorEastAsia" w:hAnsiTheme="minorEastAsia"/>
          <w:kern w:val="0"/>
          <w:sz w:val="24"/>
          <w:szCs w:val="24"/>
        </w:rPr>
        <w:t>2、专利情况</w:t>
      </w:r>
    </w:p>
    <w:p>
      <w:pPr>
        <w:spacing w:line="360" w:lineRule="auto"/>
        <w:ind w:firstLine="480" w:firstLineChars="200"/>
        <w:rPr>
          <w:rFonts w:hint="eastAsia" w:cs="Times New Roman" w:asciiTheme="minorEastAsia" w:hAnsiTheme="minorEastAsia"/>
          <w:kern w:val="0"/>
          <w:sz w:val="24"/>
          <w:szCs w:val="24"/>
          <w:highlight w:val="none"/>
        </w:rPr>
      </w:pPr>
      <w:r>
        <w:rPr>
          <w:rFonts w:hint="eastAsia" w:cs="Times New Roman" w:asciiTheme="minorEastAsia" w:hAnsiTheme="minorEastAsia"/>
          <w:kern w:val="0"/>
          <w:sz w:val="24"/>
          <w:szCs w:val="24"/>
        </w:rPr>
        <w:t>近年来，公司积极开展自主创新工作，加大研发投入力度，公司成立产品研发中心、产品试验中心。</w:t>
      </w:r>
      <w:r>
        <w:rPr>
          <w:rFonts w:hint="eastAsia" w:cs="Times New Roman" w:asciiTheme="minorEastAsia" w:hAnsiTheme="minorEastAsia"/>
          <w:kern w:val="0"/>
          <w:sz w:val="24"/>
          <w:szCs w:val="24"/>
          <w:highlight w:val="none"/>
        </w:rPr>
        <w:t>共获得专利</w:t>
      </w:r>
      <w:r>
        <w:rPr>
          <w:rFonts w:hint="eastAsia" w:cs="Times New Roman" w:asciiTheme="minorEastAsia" w:hAnsiTheme="minorEastAsia"/>
          <w:kern w:val="0"/>
          <w:sz w:val="24"/>
          <w:szCs w:val="24"/>
          <w:highlight w:val="none"/>
          <w:lang w:val="en-US" w:eastAsia="zh-CN"/>
        </w:rPr>
        <w:t>69</w:t>
      </w:r>
      <w:r>
        <w:rPr>
          <w:rFonts w:hint="eastAsia" w:cs="Times New Roman" w:asciiTheme="minorEastAsia" w:hAnsiTheme="minorEastAsia"/>
          <w:kern w:val="0"/>
          <w:sz w:val="24"/>
          <w:szCs w:val="24"/>
          <w:highlight w:val="none"/>
        </w:rPr>
        <w:t>项，发明专利</w:t>
      </w:r>
      <w:r>
        <w:rPr>
          <w:rFonts w:hint="eastAsia" w:cs="Times New Roman" w:asciiTheme="minorEastAsia" w:hAnsiTheme="minorEastAsia"/>
          <w:kern w:val="0"/>
          <w:sz w:val="24"/>
          <w:szCs w:val="24"/>
          <w:highlight w:val="none"/>
          <w:lang w:val="en-US" w:eastAsia="zh-CN"/>
        </w:rPr>
        <w:t>1</w:t>
      </w:r>
      <w:r>
        <w:rPr>
          <w:rFonts w:hint="eastAsia" w:cs="Times New Roman" w:asciiTheme="minorEastAsia" w:hAnsiTheme="minorEastAsia"/>
          <w:kern w:val="0"/>
          <w:sz w:val="24"/>
          <w:szCs w:val="24"/>
          <w:highlight w:val="none"/>
        </w:rPr>
        <w:t>项，实用新型专利</w:t>
      </w:r>
      <w:r>
        <w:rPr>
          <w:rFonts w:hint="eastAsia" w:cs="Times New Roman" w:asciiTheme="minorEastAsia" w:hAnsiTheme="minorEastAsia"/>
          <w:kern w:val="0"/>
          <w:sz w:val="24"/>
          <w:szCs w:val="24"/>
          <w:highlight w:val="none"/>
          <w:lang w:val="en-US" w:eastAsia="zh-CN"/>
        </w:rPr>
        <w:t>54</w:t>
      </w:r>
      <w:r>
        <w:rPr>
          <w:rFonts w:hint="eastAsia" w:cs="Times New Roman" w:asciiTheme="minorEastAsia" w:hAnsiTheme="minorEastAsia"/>
          <w:kern w:val="0"/>
          <w:sz w:val="24"/>
          <w:szCs w:val="24"/>
          <w:highlight w:val="none"/>
        </w:rPr>
        <w:t>项，外观设计</w:t>
      </w:r>
      <w:r>
        <w:rPr>
          <w:rFonts w:hint="eastAsia" w:cs="Times New Roman" w:asciiTheme="minorEastAsia" w:hAnsiTheme="minorEastAsia"/>
          <w:kern w:val="0"/>
          <w:sz w:val="24"/>
          <w:szCs w:val="24"/>
          <w:highlight w:val="none"/>
          <w:lang w:val="en-US" w:eastAsia="zh-CN"/>
        </w:rPr>
        <w:t>14</w:t>
      </w:r>
      <w:r>
        <w:rPr>
          <w:rFonts w:hint="eastAsia" w:cs="Times New Roman" w:asciiTheme="minorEastAsia" w:hAnsiTheme="minorEastAsia"/>
          <w:kern w:val="0"/>
          <w:sz w:val="24"/>
          <w:szCs w:val="24"/>
          <w:highlight w:val="none"/>
        </w:rPr>
        <w:t>项。另外已有</w:t>
      </w:r>
      <w:r>
        <w:rPr>
          <w:rFonts w:hint="eastAsia" w:cs="Times New Roman" w:asciiTheme="minorEastAsia" w:hAnsiTheme="minorEastAsia"/>
          <w:kern w:val="0"/>
          <w:sz w:val="24"/>
          <w:szCs w:val="24"/>
          <w:highlight w:val="none"/>
          <w:lang w:val="en-US" w:eastAsia="zh-CN"/>
        </w:rPr>
        <w:t>6</w:t>
      </w:r>
      <w:r>
        <w:rPr>
          <w:rFonts w:hint="eastAsia" w:cs="Times New Roman" w:asciiTheme="minorEastAsia" w:hAnsiTheme="minorEastAsia"/>
          <w:kern w:val="0"/>
          <w:sz w:val="24"/>
          <w:szCs w:val="24"/>
          <w:highlight w:val="none"/>
        </w:rPr>
        <w:t>件发明专利申请已进入实质审查阶段。</w:t>
      </w:r>
    </w:p>
    <w:p>
      <w:pPr>
        <w:pStyle w:val="12"/>
        <w:spacing w:line="360" w:lineRule="auto"/>
        <w:jc w:val="center"/>
        <w:rPr>
          <w:rFonts w:hint="eastAsia" w:eastAsia="黑体" w:cs="Times New Roman" w:asciiTheme="minorEastAsia" w:hAnsiTheme="minorEastAsia"/>
          <w:kern w:val="0"/>
          <w:sz w:val="24"/>
          <w:szCs w:val="24"/>
          <w:highlight w:val="none"/>
          <w:lang w:val="en-US" w:eastAsia="zh-CN"/>
        </w:rPr>
      </w:pPr>
      <w:r>
        <w:rPr>
          <w:rFonts w:hint="eastAsia" w:asciiTheme="majorEastAsia" w:hAnsiTheme="majorEastAsia" w:eastAsiaTheme="majorEastAsia" w:cstheme="majorEastAsia"/>
          <w:sz w:val="24"/>
          <w:szCs w:val="24"/>
        </w:rPr>
        <w:t xml:space="preserve">表 </w:t>
      </w: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SEQ 表 \* ARABIC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2</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lang w:val="en-US" w:eastAsia="zh-CN"/>
        </w:rPr>
        <w:t xml:space="preserve"> 金华凯力特自动化科技有限公司专利清单（部分）</w:t>
      </w:r>
    </w:p>
    <w:tbl>
      <w:tblP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59"/>
        <w:gridCol w:w="1101"/>
        <w:gridCol w:w="3074"/>
        <w:gridCol w:w="897"/>
        <w:gridCol w:w="897"/>
        <w:gridCol w:w="897"/>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专利类型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专利号</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专利名称</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申请日</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授权公告日</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有效期</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案件状态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发明专利</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2013103175817</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自动插针供给设备</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2013/7/24</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2016/1/27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2033/7/23</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2013206432692</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一种用于丝杠传动的环形同步带张紧机构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2013/10/18</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2014/4/9</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2023/10/17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2014201563042</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一种机器人中空关节的旋转密封结构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2014/4/2</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2014/11/19</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2024/4/1</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外观设计</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2014300943321</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垂直多关节机器人（CRA10)</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2014/4/18</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2014/12/31</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2024/4/17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2014207795310</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一种定角度旋转机构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2014/12/12</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2015/6/10</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2024/12/11</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2015206918356</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一种工业机器人的配重装置</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2015/9/9</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2016/1/27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2026/1/26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2015208354536</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一种四自由度搬运机械手的走线结构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2015/10/27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2016/3/30</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2025/10/26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2015208354555</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一种EPP成型机的料桶装置</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2015/10/27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2016/3/30</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2025/10/26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2015208354540</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一种泡塑成型机的冷凝器装置</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2015/10/27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2016/3/30</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2025/10/26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2015209369755</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一种EPP成型机的锁模结构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2015/11/23</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2016/5/11</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2025/11/22</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2015209370818</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一种两工位同步夹紧定型结构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2015/11/23</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2016/5/11</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2025/11/22</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2015209987076</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一种两工位衣架挂钩供料机构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2015/12/7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2016/8/31</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2025/12/6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2016210852500</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一种顶升装箱机构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2016/9/28</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2017/5/3</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2026/9/27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2018200576274</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一种保温杯盖自动装配机</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2018/1/15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2018/12/14</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2028/1/14</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2018218983824</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一种三工位中一个工位具备升降功能的下料机构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2018/11/19</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2020/1/10</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2028/11/18</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2018218983839</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一种三工位定位机构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2018/11/19</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2019/11/26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2028/11/18</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2019214089199</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一种产品抓取水平与垂直转换的机构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2019/8/28</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2020/9/25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2029/8/28</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2019214089184</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一种注塑模具刮料机构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2019/8/28</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2020/7/24</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2029/8/27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2019214091466</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一种机床下料推合翻转机构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2019/8/28</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2020/9/25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2029/8/27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2019214091470</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一种气动搬箱机械手</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2019/8/28</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2020/9/25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2029/8/27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201922177667X</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链锯导板用桁架机械手</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2019/12/6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2020/8/25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2029/12/5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2019221783226</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链锯导板的合成装置</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2019/12/6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2020/8/11</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2029/12/5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2019221782670</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导板智能化生产线</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2019/12/6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2020/7/24</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2029/12/5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2019221799760</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链锯导板的自动冲压打凸点装置</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2019/12/6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2020/8/28</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2029/12/5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2019221692405</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勺子折叠工装</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2019/12/6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2020/8/7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2029/12/5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发明专利</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201911242389X</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导板智能化生产线</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2019/12/6</w:t>
            </w:r>
          </w:p>
        </w:tc>
        <w:tc>
          <w:tcPr>
            <w:tcW w:w="526" w:type="pct"/>
            <w:shd w:val="clear" w:color="auto" w:fill="auto"/>
            <w:noWrap/>
            <w:vAlign w:val="center"/>
          </w:tcPr>
          <w:p>
            <w:pPr>
              <w:jc w:val="center"/>
              <w:rPr>
                <w:rFonts w:hint="eastAsia" w:ascii="宋体" w:hAnsi="宋体" w:eastAsia="宋体" w:cs="宋体"/>
                <w:i w:val="0"/>
                <w:iCs w:val="0"/>
                <w:color w:val="auto"/>
                <w:sz w:val="24"/>
                <w:szCs w:val="24"/>
                <w:u w:val="none"/>
              </w:rPr>
            </w:pPr>
          </w:p>
        </w:tc>
        <w:tc>
          <w:tcPr>
            <w:tcW w:w="526" w:type="pct"/>
            <w:shd w:val="clear" w:color="auto" w:fill="auto"/>
            <w:noWrap/>
            <w:vAlign w:val="center"/>
          </w:tcPr>
          <w:p>
            <w:pPr>
              <w:jc w:val="center"/>
              <w:rPr>
                <w:rFonts w:hint="eastAsia" w:ascii="宋体" w:hAnsi="宋体" w:eastAsia="宋体" w:cs="宋体"/>
                <w:i w:val="0"/>
                <w:iCs w:val="0"/>
                <w:color w:val="auto"/>
                <w:sz w:val="24"/>
                <w:szCs w:val="24"/>
                <w:u w:val="none"/>
              </w:rPr>
            </w:pP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受理未授权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2019221697470</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电瓶外壳盖子自动化生产线</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2019/12/6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2020/10/16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2029/12/5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2019221777865</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链锯导板的翻转检测装置</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2019/12/6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2020/8/11</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2029/12/5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2019221811086</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电瓶外壳盖子生产用自动供料装置</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2019/12/6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2020/8/7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2029/12/5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201922169749X</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铁锅手柄铁件供料装置</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2019/12/6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2020/8/7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2029/12/5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发明专利</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2020100657606</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五轴全伺服引拔齿轮齿条传动机构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2020/1/20</w:t>
            </w:r>
          </w:p>
        </w:tc>
        <w:tc>
          <w:tcPr>
            <w:tcW w:w="526" w:type="pct"/>
            <w:shd w:val="clear" w:color="auto" w:fill="auto"/>
            <w:noWrap/>
            <w:vAlign w:val="center"/>
          </w:tcPr>
          <w:p>
            <w:pPr>
              <w:jc w:val="center"/>
              <w:rPr>
                <w:rFonts w:hint="eastAsia" w:ascii="宋体" w:hAnsi="宋体" w:eastAsia="宋体" w:cs="宋体"/>
                <w:i w:val="0"/>
                <w:iCs w:val="0"/>
                <w:color w:val="auto"/>
                <w:sz w:val="24"/>
                <w:szCs w:val="24"/>
                <w:u w:val="none"/>
              </w:rPr>
            </w:pPr>
          </w:p>
        </w:tc>
        <w:tc>
          <w:tcPr>
            <w:tcW w:w="526" w:type="pct"/>
            <w:shd w:val="clear" w:color="auto" w:fill="auto"/>
            <w:noWrap/>
            <w:vAlign w:val="center"/>
          </w:tcPr>
          <w:p>
            <w:pPr>
              <w:jc w:val="center"/>
              <w:rPr>
                <w:rFonts w:hint="eastAsia" w:ascii="宋体" w:hAnsi="宋体" w:eastAsia="宋体" w:cs="宋体"/>
                <w:i w:val="0"/>
                <w:iCs w:val="0"/>
                <w:color w:val="auto"/>
                <w:sz w:val="24"/>
                <w:szCs w:val="24"/>
                <w:u w:val="none"/>
              </w:rPr>
            </w:pP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受理未授权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2020201359633</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全自动承接送料机构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2020/1/20</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2021/1/5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2030/1/19</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2020201300004</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保温杯专用上下料系统</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2020/1/20</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2020/10/27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2030/1/19</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发明专利</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2020100673990</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全自动承接送料机构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2020/1/20</w:t>
            </w:r>
          </w:p>
        </w:tc>
        <w:tc>
          <w:tcPr>
            <w:tcW w:w="526" w:type="pct"/>
            <w:shd w:val="clear" w:color="auto" w:fill="auto"/>
            <w:noWrap/>
            <w:vAlign w:val="center"/>
          </w:tcPr>
          <w:p>
            <w:pPr>
              <w:jc w:val="center"/>
              <w:rPr>
                <w:rFonts w:hint="eastAsia" w:ascii="宋体" w:hAnsi="宋体" w:eastAsia="宋体" w:cs="宋体"/>
                <w:i w:val="0"/>
                <w:iCs w:val="0"/>
                <w:color w:val="auto"/>
                <w:sz w:val="24"/>
                <w:szCs w:val="24"/>
                <w:u w:val="none"/>
              </w:rPr>
            </w:pPr>
          </w:p>
        </w:tc>
        <w:tc>
          <w:tcPr>
            <w:tcW w:w="526" w:type="pct"/>
            <w:shd w:val="clear" w:color="auto" w:fill="auto"/>
            <w:noWrap/>
            <w:vAlign w:val="center"/>
          </w:tcPr>
          <w:p>
            <w:pPr>
              <w:jc w:val="center"/>
              <w:rPr>
                <w:rFonts w:hint="eastAsia" w:ascii="宋体" w:hAnsi="宋体" w:eastAsia="宋体" w:cs="宋体"/>
                <w:i w:val="0"/>
                <w:iCs w:val="0"/>
                <w:color w:val="auto"/>
                <w:sz w:val="24"/>
                <w:szCs w:val="24"/>
                <w:u w:val="none"/>
              </w:rPr>
            </w:pP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受理未授权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2020201357638</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五轴全伺服引拔齿轮齿条传动机构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2020/1/20</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2020/10/30</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2030/1/19</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2020202746027</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一种不锈钢管卷圆焊机</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2020/3/6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2020/11/13</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2030/3/5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发明专利</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2020101524870</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一种不锈钢管卷圆焊机</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2020/3/6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2020/11/13</w:t>
            </w:r>
          </w:p>
        </w:tc>
        <w:tc>
          <w:tcPr>
            <w:tcW w:w="526" w:type="pct"/>
            <w:shd w:val="clear" w:color="auto" w:fill="auto"/>
            <w:noWrap/>
            <w:vAlign w:val="center"/>
          </w:tcPr>
          <w:p>
            <w:pPr>
              <w:jc w:val="center"/>
              <w:rPr>
                <w:rFonts w:hint="eastAsia" w:ascii="宋体" w:hAnsi="宋体" w:eastAsia="宋体" w:cs="宋体"/>
                <w:i w:val="0"/>
                <w:iCs w:val="0"/>
                <w:color w:val="auto"/>
                <w:sz w:val="24"/>
                <w:szCs w:val="24"/>
                <w:u w:val="none"/>
              </w:rPr>
            </w:pP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受理未授权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2020215630194</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一种旋转取料装置</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2020/7/31</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2021/3/19</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2030/7/30</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202022265085X</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一种工件反转转移机构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2020/10/13</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2021/6/22</w:t>
            </w:r>
          </w:p>
        </w:tc>
        <w:tc>
          <w:tcPr>
            <w:tcW w:w="526" w:type="pct"/>
            <w:shd w:val="clear" w:color="auto" w:fill="auto"/>
            <w:noWrap/>
            <w:vAlign w:val="center"/>
          </w:tcPr>
          <w:p>
            <w:pPr>
              <w:jc w:val="center"/>
              <w:rPr>
                <w:rFonts w:hint="eastAsia" w:ascii="宋体" w:hAnsi="宋体" w:eastAsia="宋体" w:cs="宋体"/>
                <w:i w:val="0"/>
                <w:iCs w:val="0"/>
                <w:color w:val="auto"/>
                <w:sz w:val="24"/>
                <w:szCs w:val="24"/>
                <w:u w:val="none"/>
              </w:rPr>
            </w:pP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2021227563373</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一种锅具全自动抛光机构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2021/11/11</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2022/4/5</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2031/11/10</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202122758606X</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自动化烫金设备</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2021/11/11</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2022/4/8</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2031/11/10</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2022217925762</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一种不锈钢盆生产用的产品上料装置</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2022/7/12</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2022/12/23</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2032/7/11</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202221796921X</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一种用于不锈钢盆生产的粉尘清理机构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2022/7/12</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2022/12/23</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2032/7/11</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发明专利</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2022108185551</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一种用于不锈钢盆生产的多工位抛光设备</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2022/7/12</w:t>
            </w:r>
          </w:p>
        </w:tc>
        <w:tc>
          <w:tcPr>
            <w:tcW w:w="526" w:type="pct"/>
            <w:shd w:val="clear" w:color="auto" w:fill="auto"/>
            <w:noWrap/>
            <w:vAlign w:val="center"/>
          </w:tcPr>
          <w:p>
            <w:pPr>
              <w:jc w:val="center"/>
              <w:rPr>
                <w:rFonts w:hint="eastAsia" w:ascii="宋体" w:hAnsi="宋体" w:eastAsia="宋体" w:cs="宋体"/>
                <w:i w:val="0"/>
                <w:iCs w:val="0"/>
                <w:color w:val="auto"/>
                <w:sz w:val="24"/>
                <w:szCs w:val="24"/>
                <w:u w:val="none"/>
              </w:rPr>
            </w:pPr>
          </w:p>
        </w:tc>
        <w:tc>
          <w:tcPr>
            <w:tcW w:w="526" w:type="pct"/>
            <w:shd w:val="clear" w:color="auto" w:fill="auto"/>
            <w:noWrap/>
            <w:vAlign w:val="center"/>
          </w:tcPr>
          <w:p>
            <w:pPr>
              <w:jc w:val="center"/>
              <w:rPr>
                <w:rFonts w:hint="eastAsia" w:ascii="宋体" w:hAnsi="宋体" w:eastAsia="宋体" w:cs="宋体"/>
                <w:i w:val="0"/>
                <w:iCs w:val="0"/>
                <w:color w:val="auto"/>
                <w:sz w:val="24"/>
                <w:szCs w:val="24"/>
                <w:u w:val="none"/>
              </w:rPr>
            </w:pP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受理未授权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2022229875995</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一种遥控器生产配件切割机构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2022/11/8</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2023/3/17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2032/11/7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2022229741577</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一种遥控器生产线用的夹持机构</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2022/11/8</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2023/3/24</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2032/11/7</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2022230282204</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一种粉末物料自动灌装机</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2022/11/14</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2023/3/24</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2032/11/13</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4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实用新型</w:t>
            </w:r>
          </w:p>
        </w:tc>
        <w:tc>
          <w:tcPr>
            <w:tcW w:w="645"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2022231941266</w:t>
            </w:r>
          </w:p>
        </w:tc>
        <w:tc>
          <w:tcPr>
            <w:tcW w:w="180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多功能物料自动化摆放装置</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2022/11/30</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2023/5/16</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2032/11/29</w:t>
            </w:r>
          </w:p>
        </w:tc>
        <w:tc>
          <w:tcPr>
            <w:tcW w:w="526"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bdr w:val="none" w:color="auto" w:sz="0" w:space="0"/>
                <w:lang w:val="en-US" w:eastAsia="zh-CN" w:bidi="ar"/>
              </w:rPr>
              <w:t>已授权</w:t>
            </w:r>
          </w:p>
        </w:tc>
      </w:tr>
    </w:tbl>
    <w:p>
      <w:pPr>
        <w:spacing w:line="360" w:lineRule="auto"/>
        <w:ind w:firstLine="480" w:firstLineChars="200"/>
        <w:rPr>
          <w:rFonts w:hint="eastAsia" w:cs="Times New Roman" w:asciiTheme="minorEastAsia" w:hAnsiTheme="minorEastAsia"/>
          <w:kern w:val="0"/>
          <w:sz w:val="24"/>
          <w:szCs w:val="24"/>
          <w:highlight w:val="none"/>
        </w:rPr>
      </w:pPr>
    </w:p>
    <w:p>
      <w:pPr>
        <w:spacing w:line="360" w:lineRule="auto"/>
        <w:ind w:firstLine="480" w:firstLineChars="200"/>
        <w:outlineLvl w:val="2"/>
        <w:rPr>
          <w:rFonts w:cs="Times New Roman" w:asciiTheme="minorEastAsia" w:hAnsiTheme="minorEastAsia"/>
          <w:kern w:val="0"/>
          <w:sz w:val="24"/>
          <w:szCs w:val="24"/>
        </w:rPr>
      </w:pPr>
      <w:r>
        <w:rPr>
          <w:rFonts w:hint="eastAsia" w:cs="Times New Roman" w:asciiTheme="minorEastAsia" w:hAnsiTheme="minorEastAsia"/>
          <w:kern w:val="0"/>
          <w:sz w:val="24"/>
          <w:szCs w:val="24"/>
        </w:rPr>
        <w:t>3、产品检验标准与水平</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将企业标准化贯穿于生产全过程，从原辅材料、包装材料的采购、半成品、成品检验等各个环节，均制定了相关标准。从而使产品从原辅材料进厂到成品出厂的整个生产过程都处于标准化规范管理之中，对稳定产品质量、提高企业管理水平奠定了良好的基础。</w:t>
      </w:r>
    </w:p>
    <w:p>
      <w:pPr>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自建厂以来，公司从未出现过重大质量投诉，在历年接受各级质量技术部门的抽检中，合格率均达100%。</w:t>
      </w:r>
    </w:p>
    <w:p>
      <w:pPr>
        <w:spacing w:line="360" w:lineRule="auto"/>
        <w:ind w:firstLine="480" w:firstLineChars="200"/>
        <w:outlineLvl w:val="1"/>
        <w:rPr>
          <w:rFonts w:cs="Times New Roman" w:asciiTheme="minorEastAsia" w:hAnsiTheme="minorEastAsia"/>
          <w:kern w:val="0"/>
          <w:sz w:val="24"/>
          <w:szCs w:val="24"/>
        </w:rPr>
      </w:pPr>
      <w:bookmarkStart w:id="33" w:name="_Toc515451679"/>
      <w:bookmarkStart w:id="34" w:name="_Toc26372"/>
      <w:r>
        <w:rPr>
          <w:rFonts w:hint="eastAsia" w:cs="Times New Roman" w:asciiTheme="minorEastAsia" w:hAnsiTheme="minorEastAsia"/>
          <w:kern w:val="0"/>
          <w:sz w:val="24"/>
          <w:szCs w:val="24"/>
        </w:rPr>
        <w:t>（七）</w:t>
      </w:r>
      <w:bookmarkEnd w:id="33"/>
      <w:r>
        <w:rPr>
          <w:rFonts w:hint="eastAsia" w:cs="Times New Roman" w:asciiTheme="minorEastAsia" w:hAnsiTheme="minorEastAsia"/>
          <w:kern w:val="0"/>
          <w:sz w:val="24"/>
          <w:szCs w:val="24"/>
        </w:rPr>
        <w:t>企业计量水平</w:t>
      </w:r>
      <w:bookmarkEnd w:id="34"/>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严格执行《中华人民共和国计量法》等文件法规，从原材料采购、过程管理、生产设备、检验设备、工序检验、成品检验等环节建立了一整套管理文件和控制方法。设有专职计量人员负责公司的在用计量设备管理、配备和定期校检工作，注重对计量管理人员的专业培训，为公司的计量管理的规范化提供了有力的保障。</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为确保产品质量，在产品生产工艺中严格过程控制，对生产工艺过程中的原辅材料等加强计量管理，确保计量设备的正常运行和计量的准确性。</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对计量器具从采购、入库出库严格按照审批计划和管理程序执行，仓库有专人保管计量器具，建立台帐和登记手续，计量器具的领用出库必须通过检定，有检定合格证方可投入使用；对在用的计量器具严格按周期检定，强化现场检查和监管，掌握其使用情况，发现问题及时处理；对存在问题部门提出整改意见，采取积极有效措施进行整改，为生产优质产品奠定了坚实的的计量基础。</w:t>
      </w:r>
    </w:p>
    <w:p>
      <w:pPr>
        <w:spacing w:line="360" w:lineRule="auto"/>
        <w:rPr>
          <w:rFonts w:cs="Times New Roman" w:asciiTheme="minorEastAsia" w:hAnsiTheme="minorEastAsia"/>
          <w:kern w:val="0"/>
          <w:sz w:val="24"/>
          <w:szCs w:val="24"/>
        </w:rPr>
      </w:pPr>
    </w:p>
    <w:p>
      <w:pPr>
        <w:spacing w:line="360" w:lineRule="auto"/>
        <w:ind w:firstLine="480" w:firstLineChars="200"/>
        <w:outlineLvl w:val="1"/>
        <w:rPr>
          <w:rFonts w:cs="Times New Roman" w:asciiTheme="minorEastAsia" w:hAnsiTheme="minorEastAsia"/>
          <w:kern w:val="0"/>
          <w:sz w:val="24"/>
          <w:szCs w:val="24"/>
        </w:rPr>
      </w:pPr>
      <w:bookmarkStart w:id="35" w:name="_Toc515451680"/>
      <w:bookmarkStart w:id="36" w:name="_Toc9831"/>
      <w:r>
        <w:rPr>
          <w:rFonts w:hint="eastAsia" w:cs="Times New Roman" w:asciiTheme="minorEastAsia" w:hAnsiTheme="minorEastAsia"/>
          <w:kern w:val="0"/>
          <w:sz w:val="24"/>
          <w:szCs w:val="24"/>
        </w:rPr>
        <w:t>（八）认证认可情况</w:t>
      </w:r>
      <w:bookmarkEnd w:id="35"/>
      <w:bookmarkEnd w:id="36"/>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rPr>
        <w:t>目前公司已通过ISO9001质量认证，并准备开展“浙江制造”品牌认证，公司将严格按国际质量管理体系执行，使企业产品的质量得到有力的保障，从而使</w:t>
      </w:r>
      <w:r>
        <w:rPr>
          <w:rFonts w:hint="eastAsia" w:cs="Times New Roman" w:asciiTheme="minorEastAsia" w:hAnsiTheme="minorEastAsia"/>
          <w:kern w:val="0"/>
          <w:sz w:val="24"/>
          <w:szCs w:val="24"/>
          <w:highlight w:val="none"/>
        </w:rPr>
        <w:t>企业“精致、精确、精品”的质量方针得以顺利推行。</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--管理体系</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通过ISO9001、ISO14001和ISO45001三体系认证，产品达到业内先进水平。</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--产品认证</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公司主要产品性能指标达到国内领先水平。</w:t>
      </w:r>
    </w:p>
    <w:p>
      <w:pPr>
        <w:spacing w:line="360" w:lineRule="auto"/>
        <w:ind w:firstLine="480" w:firstLineChars="200"/>
        <w:outlineLvl w:val="1"/>
        <w:rPr>
          <w:rFonts w:cs="Times New Roman" w:asciiTheme="minorEastAsia" w:hAnsiTheme="minorEastAsia"/>
          <w:kern w:val="0"/>
          <w:sz w:val="24"/>
          <w:szCs w:val="24"/>
          <w:highlight w:val="none"/>
        </w:rPr>
      </w:pPr>
      <w:bookmarkStart w:id="37" w:name="_Toc110"/>
      <w:bookmarkStart w:id="38" w:name="_Toc515451683"/>
      <w:r>
        <w:rPr>
          <w:rFonts w:hint="eastAsia" w:cs="Times New Roman" w:asciiTheme="minorEastAsia" w:hAnsiTheme="minorEastAsia"/>
          <w:kern w:val="0"/>
          <w:sz w:val="24"/>
          <w:szCs w:val="24"/>
          <w:highlight w:val="none"/>
        </w:rPr>
        <w:t>（九）产品质量承诺</w:t>
      </w:r>
      <w:bookmarkEnd w:id="37"/>
    </w:p>
    <w:bookmarkEnd w:id="38"/>
    <w:p>
      <w:pPr>
        <w:pStyle w:val="105"/>
        <w:spacing w:line="360" w:lineRule="auto"/>
        <w:ind w:firstLine="480" w:firstLineChars="200"/>
        <w:rPr>
          <w:rFonts w:hint="eastAsia" w:asciiTheme="minorHAnsi" w:hAnsiTheme="minorHAnsi" w:cstheme="minorHAnsi"/>
          <w:sz w:val="24"/>
          <w:szCs w:val="24"/>
          <w:highlight w:val="none"/>
        </w:rPr>
      </w:pPr>
      <w:bookmarkStart w:id="39" w:name="_Toc14390"/>
      <w:r>
        <w:rPr>
          <w:rFonts w:hint="eastAsia" w:asciiTheme="minorHAnsi" w:hAnsiTheme="minorHAnsi" w:cstheme="minorHAnsi"/>
          <w:sz w:val="24"/>
          <w:szCs w:val="24"/>
          <w:highlight w:val="none"/>
          <w:lang w:val="en-US" w:eastAsia="zh-CN"/>
        </w:rPr>
        <w:t xml:space="preserve">1 </w:t>
      </w:r>
      <w:r>
        <w:rPr>
          <w:rFonts w:hint="eastAsia" w:asciiTheme="minorHAnsi" w:hAnsiTheme="minorHAnsi" w:cstheme="minorHAnsi"/>
          <w:sz w:val="24"/>
          <w:szCs w:val="24"/>
          <w:highlight w:val="none"/>
        </w:rPr>
        <w:t>用户按使用维护说明书，在正常安装、使用和维护条件下，质量承诺期限为设备安装调试验收合格后 24 个月，在此期间内，发生质量问题负责包修。</w:t>
      </w:r>
    </w:p>
    <w:p>
      <w:pPr>
        <w:pStyle w:val="105"/>
        <w:spacing w:line="360" w:lineRule="auto"/>
        <w:ind w:firstLine="480" w:firstLineChars="200"/>
        <w:rPr>
          <w:rFonts w:hint="eastAsia" w:asciiTheme="minorHAnsi" w:hAnsiTheme="minorHAnsi" w:cstheme="minorHAnsi"/>
          <w:sz w:val="24"/>
          <w:szCs w:val="24"/>
          <w:highlight w:val="none"/>
        </w:rPr>
      </w:pPr>
      <w:r>
        <w:rPr>
          <w:rFonts w:hint="eastAsia" w:asciiTheme="minorHAnsi" w:hAnsiTheme="minorHAnsi" w:cstheme="minorHAnsi"/>
          <w:sz w:val="24"/>
          <w:szCs w:val="24"/>
          <w:highlight w:val="none"/>
        </w:rPr>
        <w:t>2 用户对产品质量有诉求时，应在 24 h 内做出响应，并于 72 h 内提出解决方案。</w:t>
      </w:r>
    </w:p>
    <w:p>
      <w:pPr>
        <w:pStyle w:val="105"/>
        <w:spacing w:line="360" w:lineRule="auto"/>
        <w:ind w:firstLine="480" w:firstLineChars="200"/>
        <w:rPr>
          <w:rFonts w:asciiTheme="minorHAnsi" w:hAnsiTheme="minorHAnsi" w:cstheme="minorHAnsi"/>
          <w:sz w:val="24"/>
          <w:szCs w:val="24"/>
          <w:highlight w:val="none"/>
        </w:rPr>
      </w:pPr>
      <w:r>
        <w:rPr>
          <w:rFonts w:hint="eastAsia" w:asciiTheme="minorHAnsi" w:hAnsiTheme="minorHAnsi" w:cstheme="minorHAnsi"/>
          <w:sz w:val="24"/>
          <w:szCs w:val="24"/>
          <w:highlight w:val="none"/>
        </w:rPr>
        <w:t>3 除易损件外，关键部件三年质保，终生提供技术支持。</w:t>
      </w:r>
    </w:p>
    <w:p>
      <w:pPr>
        <w:spacing w:line="360" w:lineRule="auto"/>
        <w:ind w:firstLine="480" w:firstLineChars="200"/>
        <w:outlineLvl w:val="1"/>
        <w:rPr>
          <w:rFonts w:cstheme="minorHAnsi"/>
          <w:kern w:val="0"/>
          <w:sz w:val="24"/>
          <w:szCs w:val="24"/>
        </w:rPr>
      </w:pPr>
      <w:r>
        <w:rPr>
          <w:rFonts w:cstheme="minorHAnsi"/>
          <w:kern w:val="0"/>
          <w:sz w:val="24"/>
          <w:szCs w:val="24"/>
        </w:rPr>
        <w:t>（十）质量投诉处理</w:t>
      </w:r>
      <w:bookmarkEnd w:id="39"/>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建立并实施顾客投诉处理流程，确保及时有效地处理客户投诉。客户投诉由专职人员处理，每张投诉单，均应严密监控，根据客户投诉类型与程度的差异，以客户为中心并注重收集和解决客户的反馈，并采取必要的纠正/预防措施，以防止类似问题的重复发生。以电话回访的方式跟踪投诉处理过程，了解顾客的满意度。</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同时，公司销售部门对客诉信息定期监测，设立售后服务部门，对市场中重复发生及影响客户满意度和产品体验的问题进行集中收集，并加以分析，形成报告。定期组织内部各部门召开产品质量会议。组建品管圈、跨部门产品质量改善团队、同时联动上游供应商及相关合作伙伴，对重大产品质量问题进行攻坚改善，消除质量风险，提升产品质量满意度。</w:t>
      </w:r>
    </w:p>
    <w:p>
      <w:pPr>
        <w:spacing w:line="360" w:lineRule="auto"/>
        <w:ind w:firstLine="480" w:firstLineChars="200"/>
        <w:outlineLvl w:val="1"/>
        <w:rPr>
          <w:rFonts w:cs="Times New Roman" w:asciiTheme="minorEastAsia" w:hAnsiTheme="minorEastAsia"/>
          <w:kern w:val="0"/>
          <w:sz w:val="24"/>
          <w:szCs w:val="24"/>
        </w:rPr>
      </w:pPr>
      <w:bookmarkStart w:id="40" w:name="_Toc21494"/>
      <w:r>
        <w:rPr>
          <w:rFonts w:hint="eastAsia" w:cs="Times New Roman" w:asciiTheme="minorEastAsia" w:hAnsiTheme="minorEastAsia"/>
          <w:kern w:val="0"/>
          <w:sz w:val="24"/>
          <w:szCs w:val="24"/>
        </w:rPr>
        <w:t>（十一）质量风险监测</w:t>
      </w:r>
      <w:bookmarkEnd w:id="40"/>
    </w:p>
    <w:p>
      <w:pPr>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公司制定常规产品生产运行控制流程，做到每一个环节严格控制，严格把关，确保每个零件的生产都符合相关要求，确保最终产品质量的合格。公司还运用三检制，即自检、</w:t>
      </w:r>
      <w:r>
        <w:rPr>
          <w:rFonts w:hint="eastAsia" w:cs="Times New Roman" w:asciiTheme="minorEastAsia" w:hAnsiTheme="minorEastAsia"/>
          <w:kern w:val="0"/>
          <w:sz w:val="24"/>
          <w:szCs w:val="24"/>
        </w:rPr>
        <w:t>互检、专检，</w:t>
      </w:r>
      <w:r>
        <w:rPr>
          <w:rFonts w:cs="Times New Roman" w:asciiTheme="minorEastAsia" w:hAnsiTheme="minorEastAsia"/>
          <w:kern w:val="0"/>
          <w:sz w:val="24"/>
          <w:szCs w:val="24"/>
        </w:rPr>
        <w:t>对产品质量进行严格把控。其中自检包括</w:t>
      </w:r>
      <w:r>
        <w:rPr>
          <w:rFonts w:hint="eastAsia" w:cs="Times New Roman" w:asciiTheme="minorEastAsia" w:hAnsiTheme="minorEastAsia"/>
          <w:kern w:val="0"/>
          <w:sz w:val="24"/>
          <w:szCs w:val="24"/>
        </w:rPr>
        <w:t>了</w:t>
      </w:r>
      <w:r>
        <w:rPr>
          <w:rFonts w:cs="Times New Roman" w:asciiTheme="minorEastAsia" w:hAnsiTheme="minorEastAsia"/>
          <w:kern w:val="0"/>
          <w:sz w:val="24"/>
          <w:szCs w:val="24"/>
        </w:rPr>
        <w:t>产品</w:t>
      </w:r>
      <w:r>
        <w:rPr>
          <w:rFonts w:hint="eastAsia" w:cs="Times New Roman" w:asciiTheme="minorEastAsia" w:hAnsiTheme="minorEastAsia"/>
          <w:kern w:val="0"/>
          <w:sz w:val="24"/>
          <w:szCs w:val="24"/>
        </w:rPr>
        <w:t>生产全过程</w:t>
      </w:r>
      <w:r>
        <w:rPr>
          <w:rFonts w:cs="Times New Roman" w:asciiTheme="minorEastAsia" w:hAnsiTheme="minorEastAsia"/>
          <w:kern w:val="0"/>
          <w:sz w:val="24"/>
          <w:szCs w:val="24"/>
        </w:rPr>
        <w:t>，员工对自己所生产出来的产品，按照图纸</w:t>
      </w:r>
      <w:r>
        <w:rPr>
          <w:rFonts w:hint="eastAsia" w:cs="Times New Roman" w:asciiTheme="minorEastAsia" w:hAnsiTheme="minorEastAsia"/>
          <w:kern w:val="0"/>
          <w:sz w:val="24"/>
          <w:szCs w:val="24"/>
        </w:rPr>
        <w:t>或</w:t>
      </w:r>
      <w:r>
        <w:rPr>
          <w:rFonts w:cs="Times New Roman" w:asciiTheme="minorEastAsia" w:hAnsiTheme="minorEastAsia"/>
          <w:kern w:val="0"/>
          <w:sz w:val="24"/>
          <w:szCs w:val="24"/>
        </w:rPr>
        <w:t>要求自行进行检验，并作出是否合格的判定且在</w:t>
      </w:r>
      <w:r>
        <w:rPr>
          <w:rFonts w:hint="eastAsia" w:cs="Times New Roman" w:asciiTheme="minorEastAsia" w:hAnsiTheme="minorEastAsia"/>
          <w:kern w:val="0"/>
          <w:sz w:val="24"/>
          <w:szCs w:val="24"/>
        </w:rPr>
        <w:t>检验记录</w:t>
      </w:r>
      <w:r>
        <w:rPr>
          <w:rFonts w:cs="Times New Roman" w:asciiTheme="minorEastAsia" w:hAnsiTheme="minorEastAsia"/>
          <w:kern w:val="0"/>
          <w:sz w:val="24"/>
          <w:szCs w:val="24"/>
        </w:rPr>
        <w:t>上做好相关的自检记录。单元化模块化的生产模式，使</w:t>
      </w:r>
      <w:r>
        <w:rPr>
          <w:rFonts w:hint="eastAsia" w:cs="Times New Roman" w:asciiTheme="minorEastAsia" w:hAnsiTheme="minorEastAsia"/>
          <w:kern w:val="0"/>
          <w:sz w:val="24"/>
          <w:szCs w:val="24"/>
        </w:rPr>
        <w:t>产品</w:t>
      </w:r>
      <w:r>
        <w:rPr>
          <w:rFonts w:cs="Times New Roman" w:asciiTheme="minorEastAsia" w:hAnsiTheme="minorEastAsia"/>
          <w:kern w:val="0"/>
          <w:sz w:val="24"/>
          <w:szCs w:val="24"/>
        </w:rPr>
        <w:t>关键质量环节得以暴露和控制，进而保证</w:t>
      </w:r>
      <w:r>
        <w:rPr>
          <w:rFonts w:hint="eastAsia" w:cs="Times New Roman" w:asciiTheme="minorEastAsia" w:hAnsiTheme="minorEastAsia"/>
          <w:kern w:val="0"/>
          <w:sz w:val="24"/>
          <w:szCs w:val="24"/>
        </w:rPr>
        <w:t>产品</w:t>
      </w:r>
      <w:r>
        <w:rPr>
          <w:rFonts w:cs="Times New Roman" w:asciiTheme="minorEastAsia" w:hAnsiTheme="minorEastAsia"/>
          <w:kern w:val="0"/>
          <w:sz w:val="24"/>
          <w:szCs w:val="24"/>
        </w:rPr>
        <w:t>质量安全</w:t>
      </w:r>
      <w:r>
        <w:rPr>
          <w:rFonts w:hint="eastAsia" w:cs="Times New Roman" w:asciiTheme="minorEastAsia" w:hAnsiTheme="minorEastAsia"/>
          <w:kern w:val="0"/>
          <w:sz w:val="24"/>
          <w:szCs w:val="24"/>
        </w:rPr>
        <w:t>，防范质量安全风险</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 </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制定了质量控制体系，成立了以总经理为最高领导人，质量工艺工程师，材料控制系统、检验与试验控制系统、生产设备控制系统、加工控制系统为组员的质量控制体系结构。并明确了质量控制体系结构及各相关部门职责。</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公司编制以顾客为关注焦点、顾客满意的管理制度规定了在业务过程中的冲突和风险得到有效预防和处理的要求。当发生与顾客关系重大问题时，规定了制定应急措施进行处理。</w:t>
      </w:r>
    </w:p>
    <w:p>
      <w:pPr>
        <w:spacing w:line="360" w:lineRule="auto"/>
        <w:ind w:firstLine="480" w:firstLineChars="200"/>
        <w:outlineLvl w:val="0"/>
        <w:rPr>
          <w:rFonts w:cs="Times New Roman" w:asciiTheme="minorEastAsia" w:hAnsiTheme="minorEastAsia"/>
          <w:kern w:val="0"/>
          <w:sz w:val="24"/>
          <w:szCs w:val="24"/>
        </w:rPr>
      </w:pPr>
      <w:bookmarkStart w:id="41" w:name="_Toc14688"/>
      <w:r>
        <w:rPr>
          <w:rFonts w:hint="eastAsia" w:cs="Times New Roman" w:asciiTheme="minorEastAsia" w:hAnsiTheme="minorEastAsia"/>
          <w:kern w:val="0"/>
          <w:sz w:val="24"/>
          <w:szCs w:val="24"/>
        </w:rPr>
        <w:t>三、展望</w:t>
      </w:r>
      <w:bookmarkEnd w:id="41"/>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多年来，我们坚定不移地走合作共赢的发展道路，与众多优秀合作伙伴开展全方位、多形式的合资与合作，在合作中学习，在合作中提高，追求长期发展和互利共赢。我们相信，通过智慧的联合，团队的协作，将帮助我们实现优势互补。</w:t>
      </w:r>
    </w:p>
    <w:p>
      <w:pPr>
        <w:spacing w:line="360" w:lineRule="auto"/>
        <w:ind w:firstLine="480" w:firstLineChars="200"/>
        <w:rPr>
          <w:rFonts w:cs="Times New Roman" w:asciiTheme="minorEastAsia" w:hAnsiTheme="minorEastAsia"/>
          <w:kern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Helvetica-Narrow">
    <w:altName w:val="Segoe Print"/>
    <w:panose1 w:val="00000000000000000000"/>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left"/>
    </w:pPr>
    <w:r>
      <w:drawing>
        <wp:anchor distT="0" distB="0" distL="114300" distR="114300" simplePos="0" relativeHeight="251659264" behindDoc="0" locked="0" layoutInCell="1" allowOverlap="1">
          <wp:simplePos x="0" y="0"/>
          <wp:positionH relativeFrom="column">
            <wp:posOffset>9525</wp:posOffset>
          </wp:positionH>
          <wp:positionV relativeFrom="paragraph">
            <wp:posOffset>-511810</wp:posOffset>
          </wp:positionV>
          <wp:extent cx="2279015" cy="647700"/>
          <wp:effectExtent l="0" t="0" r="6985" b="0"/>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
                  <a:stretch>
                    <a:fillRect/>
                  </a:stretch>
                </pic:blipFill>
                <pic:spPr>
                  <a:xfrm>
                    <a:off x="0" y="0"/>
                    <a:ext cx="2279015" cy="6477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EA2025"/>
    <w:multiLevelType w:val="multilevel"/>
    <w:tmpl w:val="6CEA2025"/>
    <w:lvl w:ilvl="0" w:tentative="0">
      <w:start w:val="1"/>
      <w:numFmt w:val="none"/>
      <w:pStyle w:val="98"/>
      <w:suff w:val="nothing"/>
      <w:lvlText w:val="%1"/>
      <w:lvlJc w:val="left"/>
      <w:pPr>
        <w:ind w:left="0" w:firstLine="0"/>
      </w:pPr>
      <w:rPr>
        <w:rFonts w:hint="default" w:ascii="Times New Roman" w:hAnsi="Times New Roman"/>
        <w:b/>
        <w:i w:val="0"/>
        <w:sz w:val="21"/>
      </w:rPr>
    </w:lvl>
    <w:lvl w:ilvl="1" w:tentative="0">
      <w:start w:val="1"/>
      <w:numFmt w:val="decimal"/>
      <w:pStyle w:val="99"/>
      <w:suff w:val="nothing"/>
      <w:lvlText w:val="%1%2　"/>
      <w:lvlJc w:val="left"/>
      <w:pPr>
        <w:ind w:left="0" w:firstLine="0"/>
      </w:pPr>
      <w:rPr>
        <w:rFonts w:hint="eastAsia" w:ascii="黑体" w:hAnsi="Times New Roman" w:eastAsia="黑体"/>
        <w:b w:val="0"/>
        <w:i w:val="0"/>
        <w:sz w:val="21"/>
      </w:rPr>
    </w:lvl>
    <w:lvl w:ilvl="2" w:tentative="0">
      <w:start w:val="1"/>
      <w:numFmt w:val="decimal"/>
      <w:pStyle w:val="100"/>
      <w:suff w:val="nothing"/>
      <w:lvlText w:val="%1%2.%3　"/>
      <w:lvlJc w:val="left"/>
      <w:pPr>
        <w:ind w:left="0" w:firstLine="0"/>
      </w:pPr>
      <w:rPr>
        <w:rFonts w:hint="eastAsia" w:ascii="黑体" w:hAnsi="Times New Roman" w:eastAsia="黑体"/>
        <w:b w:val="0"/>
        <w:i w:val="0"/>
        <w:sz w:val="21"/>
      </w:rPr>
    </w:lvl>
    <w:lvl w:ilvl="3" w:tentative="0">
      <w:start w:val="1"/>
      <w:numFmt w:val="decimal"/>
      <w:pStyle w:val="101"/>
      <w:suff w:val="nothing"/>
      <w:lvlText w:val="%1%2.%3.%4　"/>
      <w:lvlJc w:val="left"/>
      <w:pPr>
        <w:ind w:left="0" w:firstLine="0"/>
      </w:pPr>
      <w:rPr>
        <w:rFonts w:hint="eastAsia" w:ascii="黑体" w:hAnsi="Times New Roman" w:eastAsia="黑体"/>
        <w:b w:val="0"/>
        <w:i w:val="0"/>
        <w:sz w:val="21"/>
      </w:rPr>
    </w:lvl>
    <w:lvl w:ilvl="4" w:tentative="0">
      <w:start w:val="1"/>
      <w:numFmt w:val="decimal"/>
      <w:pStyle w:val="102"/>
      <w:suff w:val="nothing"/>
      <w:lvlText w:val="%1%2.%3.%4.%5　"/>
      <w:lvlJc w:val="left"/>
      <w:pPr>
        <w:ind w:left="0" w:firstLine="0"/>
      </w:pPr>
      <w:rPr>
        <w:rFonts w:hint="eastAsia" w:ascii="黑体" w:hAnsi="Times New Roman" w:eastAsia="黑体"/>
        <w:b w:val="0"/>
        <w:i w:val="0"/>
        <w:sz w:val="21"/>
      </w:rPr>
    </w:lvl>
    <w:lvl w:ilvl="5" w:tentative="0">
      <w:start w:val="1"/>
      <w:numFmt w:val="decimal"/>
      <w:pStyle w:val="103"/>
      <w:suff w:val="nothing"/>
      <w:lvlText w:val="%1%2.%3.%4.%5.%6　"/>
      <w:lvlJc w:val="left"/>
      <w:pPr>
        <w:ind w:left="0" w:firstLine="0"/>
      </w:pPr>
      <w:rPr>
        <w:rFonts w:hint="eastAsia" w:ascii="黑体" w:hAnsi="Times New Roman" w:eastAsia="黑体"/>
        <w:b w:val="0"/>
        <w:i w:val="0"/>
        <w:sz w:val="21"/>
      </w:rPr>
    </w:lvl>
    <w:lvl w:ilvl="6" w:tentative="0">
      <w:start w:val="1"/>
      <w:numFmt w:val="decimal"/>
      <w:pStyle w:val="10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zZjc4MGQ1ODJmNzEzNzUyZjRiZWM3ZWVjYjRhYmIifQ=="/>
  </w:docVars>
  <w:rsids>
    <w:rsidRoot w:val="00CD5536"/>
    <w:rsid w:val="000001E5"/>
    <w:rsid w:val="00004397"/>
    <w:rsid w:val="00015645"/>
    <w:rsid w:val="00021662"/>
    <w:rsid w:val="00036A7A"/>
    <w:rsid w:val="000437A1"/>
    <w:rsid w:val="000519DC"/>
    <w:rsid w:val="0005457F"/>
    <w:rsid w:val="00063F4D"/>
    <w:rsid w:val="00066D0C"/>
    <w:rsid w:val="00077D7B"/>
    <w:rsid w:val="0009113C"/>
    <w:rsid w:val="00091477"/>
    <w:rsid w:val="000934BE"/>
    <w:rsid w:val="00093D9A"/>
    <w:rsid w:val="000C3B69"/>
    <w:rsid w:val="000C7797"/>
    <w:rsid w:val="000F2948"/>
    <w:rsid w:val="000F668C"/>
    <w:rsid w:val="001100C5"/>
    <w:rsid w:val="00116ECF"/>
    <w:rsid w:val="00131595"/>
    <w:rsid w:val="001360AA"/>
    <w:rsid w:val="001435B5"/>
    <w:rsid w:val="00153385"/>
    <w:rsid w:val="00165DCC"/>
    <w:rsid w:val="0017669F"/>
    <w:rsid w:val="00186145"/>
    <w:rsid w:val="00187913"/>
    <w:rsid w:val="001B6A47"/>
    <w:rsid w:val="001C1CAA"/>
    <w:rsid w:val="001D1108"/>
    <w:rsid w:val="001F317C"/>
    <w:rsid w:val="001F5694"/>
    <w:rsid w:val="0020185A"/>
    <w:rsid w:val="00205BD5"/>
    <w:rsid w:val="002204FD"/>
    <w:rsid w:val="00225468"/>
    <w:rsid w:val="00233AAC"/>
    <w:rsid w:val="00234E6C"/>
    <w:rsid w:val="00241399"/>
    <w:rsid w:val="0024604C"/>
    <w:rsid w:val="00250A59"/>
    <w:rsid w:val="00250CD1"/>
    <w:rsid w:val="00262045"/>
    <w:rsid w:val="002827AB"/>
    <w:rsid w:val="002B6B4E"/>
    <w:rsid w:val="002D2D0C"/>
    <w:rsid w:val="002F65F1"/>
    <w:rsid w:val="00310AC9"/>
    <w:rsid w:val="00330422"/>
    <w:rsid w:val="00336210"/>
    <w:rsid w:val="0035589D"/>
    <w:rsid w:val="00356491"/>
    <w:rsid w:val="003571F1"/>
    <w:rsid w:val="00377118"/>
    <w:rsid w:val="003809D1"/>
    <w:rsid w:val="003906B1"/>
    <w:rsid w:val="00397853"/>
    <w:rsid w:val="003B02BA"/>
    <w:rsid w:val="003B6748"/>
    <w:rsid w:val="003C2E66"/>
    <w:rsid w:val="003C2FB7"/>
    <w:rsid w:val="003C7C77"/>
    <w:rsid w:val="003D6397"/>
    <w:rsid w:val="004314BE"/>
    <w:rsid w:val="004432F6"/>
    <w:rsid w:val="00451B40"/>
    <w:rsid w:val="00463CC3"/>
    <w:rsid w:val="00470308"/>
    <w:rsid w:val="004805CD"/>
    <w:rsid w:val="00483C04"/>
    <w:rsid w:val="004848C6"/>
    <w:rsid w:val="00485095"/>
    <w:rsid w:val="004947D8"/>
    <w:rsid w:val="004978CF"/>
    <w:rsid w:val="004A06E6"/>
    <w:rsid w:val="004B21B4"/>
    <w:rsid w:val="004B2217"/>
    <w:rsid w:val="004B501E"/>
    <w:rsid w:val="004C5677"/>
    <w:rsid w:val="004D70BA"/>
    <w:rsid w:val="00502028"/>
    <w:rsid w:val="0051403C"/>
    <w:rsid w:val="0053275A"/>
    <w:rsid w:val="00533338"/>
    <w:rsid w:val="00535E17"/>
    <w:rsid w:val="005445FD"/>
    <w:rsid w:val="00545C25"/>
    <w:rsid w:val="00554B93"/>
    <w:rsid w:val="005572C7"/>
    <w:rsid w:val="00564830"/>
    <w:rsid w:val="005A40F6"/>
    <w:rsid w:val="005A5A6F"/>
    <w:rsid w:val="005A74DA"/>
    <w:rsid w:val="005B2CE2"/>
    <w:rsid w:val="005D770E"/>
    <w:rsid w:val="005E4681"/>
    <w:rsid w:val="00603844"/>
    <w:rsid w:val="00623075"/>
    <w:rsid w:val="00625F82"/>
    <w:rsid w:val="00634892"/>
    <w:rsid w:val="00637B07"/>
    <w:rsid w:val="006644E1"/>
    <w:rsid w:val="00667FBF"/>
    <w:rsid w:val="00671E41"/>
    <w:rsid w:val="00686622"/>
    <w:rsid w:val="00695D3A"/>
    <w:rsid w:val="006A4B0E"/>
    <w:rsid w:val="006B2397"/>
    <w:rsid w:val="006C0B69"/>
    <w:rsid w:val="006F6F50"/>
    <w:rsid w:val="00703B80"/>
    <w:rsid w:val="00716577"/>
    <w:rsid w:val="00717D02"/>
    <w:rsid w:val="00730453"/>
    <w:rsid w:val="00730A7E"/>
    <w:rsid w:val="00736DA1"/>
    <w:rsid w:val="007441FF"/>
    <w:rsid w:val="00744874"/>
    <w:rsid w:val="00744B55"/>
    <w:rsid w:val="007557C6"/>
    <w:rsid w:val="00767175"/>
    <w:rsid w:val="00772D20"/>
    <w:rsid w:val="00793FD8"/>
    <w:rsid w:val="007B1A38"/>
    <w:rsid w:val="00816169"/>
    <w:rsid w:val="00824AF2"/>
    <w:rsid w:val="00835031"/>
    <w:rsid w:val="00836A2D"/>
    <w:rsid w:val="00880909"/>
    <w:rsid w:val="00880AAF"/>
    <w:rsid w:val="008A2719"/>
    <w:rsid w:val="008B2A22"/>
    <w:rsid w:val="008C15FE"/>
    <w:rsid w:val="008D6DB7"/>
    <w:rsid w:val="008D77ED"/>
    <w:rsid w:val="008E69B7"/>
    <w:rsid w:val="008E7DC2"/>
    <w:rsid w:val="008F3E0E"/>
    <w:rsid w:val="009033C1"/>
    <w:rsid w:val="009112BB"/>
    <w:rsid w:val="00941F52"/>
    <w:rsid w:val="0094693B"/>
    <w:rsid w:val="00951B16"/>
    <w:rsid w:val="0095632E"/>
    <w:rsid w:val="00966680"/>
    <w:rsid w:val="00973DEE"/>
    <w:rsid w:val="009811C7"/>
    <w:rsid w:val="00992744"/>
    <w:rsid w:val="009A0384"/>
    <w:rsid w:val="009B3814"/>
    <w:rsid w:val="009D6A8A"/>
    <w:rsid w:val="009E1659"/>
    <w:rsid w:val="009E3E8F"/>
    <w:rsid w:val="009F3E59"/>
    <w:rsid w:val="009F5B39"/>
    <w:rsid w:val="009F7CA5"/>
    <w:rsid w:val="009F7FA0"/>
    <w:rsid w:val="00A24EEA"/>
    <w:rsid w:val="00A31629"/>
    <w:rsid w:val="00A322BA"/>
    <w:rsid w:val="00A41920"/>
    <w:rsid w:val="00A76FA3"/>
    <w:rsid w:val="00A80F7B"/>
    <w:rsid w:val="00A961E7"/>
    <w:rsid w:val="00AB2525"/>
    <w:rsid w:val="00AF5419"/>
    <w:rsid w:val="00B02351"/>
    <w:rsid w:val="00B0616B"/>
    <w:rsid w:val="00B1748F"/>
    <w:rsid w:val="00B21EF1"/>
    <w:rsid w:val="00B3405E"/>
    <w:rsid w:val="00B36410"/>
    <w:rsid w:val="00B575F2"/>
    <w:rsid w:val="00B65A19"/>
    <w:rsid w:val="00B6701A"/>
    <w:rsid w:val="00B7013E"/>
    <w:rsid w:val="00B81A74"/>
    <w:rsid w:val="00B91746"/>
    <w:rsid w:val="00B9573E"/>
    <w:rsid w:val="00BA0555"/>
    <w:rsid w:val="00BA119F"/>
    <w:rsid w:val="00BA7FD7"/>
    <w:rsid w:val="00BB2768"/>
    <w:rsid w:val="00BD23D5"/>
    <w:rsid w:val="00BD4111"/>
    <w:rsid w:val="00BF63C4"/>
    <w:rsid w:val="00C038A5"/>
    <w:rsid w:val="00C30E1C"/>
    <w:rsid w:val="00C5360B"/>
    <w:rsid w:val="00C626FE"/>
    <w:rsid w:val="00C62CC5"/>
    <w:rsid w:val="00C72D50"/>
    <w:rsid w:val="00C75F8D"/>
    <w:rsid w:val="00C76CCB"/>
    <w:rsid w:val="00C93C36"/>
    <w:rsid w:val="00CB51D4"/>
    <w:rsid w:val="00CB5ACF"/>
    <w:rsid w:val="00CD0A01"/>
    <w:rsid w:val="00CD5536"/>
    <w:rsid w:val="00CD5A41"/>
    <w:rsid w:val="00CD6E6A"/>
    <w:rsid w:val="00CD7DCD"/>
    <w:rsid w:val="00CF5AE9"/>
    <w:rsid w:val="00D0108B"/>
    <w:rsid w:val="00D43FE8"/>
    <w:rsid w:val="00D56F1C"/>
    <w:rsid w:val="00D6201A"/>
    <w:rsid w:val="00D73D4C"/>
    <w:rsid w:val="00D76656"/>
    <w:rsid w:val="00D77F15"/>
    <w:rsid w:val="00D81A98"/>
    <w:rsid w:val="00D93CED"/>
    <w:rsid w:val="00D958DE"/>
    <w:rsid w:val="00DA2CD0"/>
    <w:rsid w:val="00DA3FF1"/>
    <w:rsid w:val="00DA65EA"/>
    <w:rsid w:val="00DC004C"/>
    <w:rsid w:val="00DC6F7A"/>
    <w:rsid w:val="00DE4547"/>
    <w:rsid w:val="00DE4754"/>
    <w:rsid w:val="00DF4477"/>
    <w:rsid w:val="00DF7ADB"/>
    <w:rsid w:val="00E1560D"/>
    <w:rsid w:val="00E15C82"/>
    <w:rsid w:val="00E23FAD"/>
    <w:rsid w:val="00E30710"/>
    <w:rsid w:val="00E30F23"/>
    <w:rsid w:val="00E329A5"/>
    <w:rsid w:val="00E52188"/>
    <w:rsid w:val="00E528E6"/>
    <w:rsid w:val="00E705B8"/>
    <w:rsid w:val="00EA0119"/>
    <w:rsid w:val="00EA43FF"/>
    <w:rsid w:val="00EB6662"/>
    <w:rsid w:val="00EB7E32"/>
    <w:rsid w:val="00EC487B"/>
    <w:rsid w:val="00EC5685"/>
    <w:rsid w:val="00EE738D"/>
    <w:rsid w:val="00EF1F95"/>
    <w:rsid w:val="00EF7C30"/>
    <w:rsid w:val="00EF7FEC"/>
    <w:rsid w:val="00F02061"/>
    <w:rsid w:val="00F13B6E"/>
    <w:rsid w:val="00F3375E"/>
    <w:rsid w:val="00F63BE9"/>
    <w:rsid w:val="00F72C6E"/>
    <w:rsid w:val="00F73F58"/>
    <w:rsid w:val="00F96B5F"/>
    <w:rsid w:val="00FA4EBD"/>
    <w:rsid w:val="00FC4345"/>
    <w:rsid w:val="00FC43B5"/>
    <w:rsid w:val="00FC650D"/>
    <w:rsid w:val="00FE3F4F"/>
    <w:rsid w:val="00FF0634"/>
    <w:rsid w:val="00FF5A90"/>
    <w:rsid w:val="01915353"/>
    <w:rsid w:val="03AF34A2"/>
    <w:rsid w:val="05205355"/>
    <w:rsid w:val="060374E1"/>
    <w:rsid w:val="099540F5"/>
    <w:rsid w:val="099C3C23"/>
    <w:rsid w:val="0E92577A"/>
    <w:rsid w:val="15E4163C"/>
    <w:rsid w:val="1FE32AA5"/>
    <w:rsid w:val="223775AC"/>
    <w:rsid w:val="23DB1D7E"/>
    <w:rsid w:val="260B328E"/>
    <w:rsid w:val="277B0325"/>
    <w:rsid w:val="28C07367"/>
    <w:rsid w:val="29AA2DCC"/>
    <w:rsid w:val="2E5A64A6"/>
    <w:rsid w:val="2F91426B"/>
    <w:rsid w:val="31726B84"/>
    <w:rsid w:val="41BC5261"/>
    <w:rsid w:val="48D811F5"/>
    <w:rsid w:val="4E5A19FE"/>
    <w:rsid w:val="4F160199"/>
    <w:rsid w:val="52631F37"/>
    <w:rsid w:val="53670EDD"/>
    <w:rsid w:val="5965519C"/>
    <w:rsid w:val="5B977ED0"/>
    <w:rsid w:val="5F7610AD"/>
    <w:rsid w:val="69D13148"/>
    <w:rsid w:val="6C45775B"/>
    <w:rsid w:val="6D424B8A"/>
    <w:rsid w:val="732F36FA"/>
    <w:rsid w:val="75332B1D"/>
    <w:rsid w:val="78746025"/>
    <w:rsid w:val="7A2A625A"/>
    <w:rsid w:val="7A9622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qFormat="1" w:uiPriority="99" w:semiHidden="0" w:name="endnote reference"/>
    <w:lsdException w:qFormat="1" w:uiPriority="99" w:semiHidden="0"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qFormat="1" w:unhideWhenUsed="0" w:uiPriority="0" w:semiHidden="0"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uiPriority="99" w:name="Body Text First Indent"/>
    <w:lsdException w:qFormat="1" w:uiPriority="99" w:semiHidden="0" w:name="Body Text First Indent 2"/>
    <w:lsdException w:qFormat="1" w:unhideWhenUsed="0" w:uiPriority="99"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6"/>
    <w:autoRedefine/>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58"/>
    <w:autoRedefine/>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59"/>
    <w:qFormat/>
    <w:uiPriority w:val="9"/>
    <w:pPr>
      <w:keepNext/>
      <w:keepLines/>
      <w:spacing w:before="60" w:after="60"/>
      <w:outlineLvl w:val="2"/>
    </w:pPr>
    <w:rPr>
      <w:rFonts w:ascii="Calibri" w:hAnsi="Calibri" w:eastAsia="宋体" w:cs="Times New Roman"/>
      <w:b/>
      <w:bCs/>
      <w:szCs w:val="32"/>
    </w:rPr>
  </w:style>
  <w:style w:type="paragraph" w:styleId="5">
    <w:name w:val="heading 4"/>
    <w:basedOn w:val="1"/>
    <w:next w:val="1"/>
    <w:link w:val="60"/>
    <w:autoRedefine/>
    <w:qFormat/>
    <w:uiPriority w:val="9"/>
    <w:pPr>
      <w:keepNext/>
      <w:keepLines/>
      <w:spacing w:before="60" w:after="60"/>
      <w:outlineLvl w:val="3"/>
    </w:pPr>
    <w:rPr>
      <w:rFonts w:ascii="Cambria" w:hAnsi="Cambria" w:eastAsia="宋体" w:cs="Times New Roman"/>
      <w:b/>
      <w:bCs/>
      <w:szCs w:val="28"/>
    </w:rPr>
  </w:style>
  <w:style w:type="paragraph" w:styleId="6">
    <w:name w:val="heading 5"/>
    <w:basedOn w:val="1"/>
    <w:next w:val="1"/>
    <w:link w:val="61"/>
    <w:autoRedefine/>
    <w:qFormat/>
    <w:uiPriority w:val="9"/>
    <w:pPr>
      <w:keepNext/>
      <w:keepLines/>
      <w:spacing w:before="60" w:after="60"/>
      <w:outlineLvl w:val="4"/>
    </w:pPr>
    <w:rPr>
      <w:rFonts w:ascii="Calibri" w:hAnsi="Calibri" w:eastAsia="宋体" w:cs="Times New Roman"/>
      <w:b/>
      <w:bCs/>
      <w:szCs w:val="28"/>
    </w:rPr>
  </w:style>
  <w:style w:type="paragraph" w:styleId="7">
    <w:name w:val="heading 6"/>
    <w:basedOn w:val="1"/>
    <w:next w:val="1"/>
    <w:link w:val="62"/>
    <w:autoRedefine/>
    <w:unhideWhenUsed/>
    <w:qFormat/>
    <w:uiPriority w:val="9"/>
    <w:pPr>
      <w:keepNext/>
      <w:keepLines/>
      <w:widowControl/>
      <w:spacing w:before="60" w:after="60"/>
      <w:jc w:val="left"/>
      <w:outlineLvl w:val="5"/>
    </w:pPr>
    <w:rPr>
      <w:rFonts w:eastAsia="宋体" w:asciiTheme="majorHAnsi" w:hAnsiTheme="majorHAnsi" w:cstheme="majorBidi"/>
      <w:b/>
      <w:bCs/>
      <w:kern w:val="0"/>
      <w:szCs w:val="24"/>
    </w:rPr>
  </w:style>
  <w:style w:type="paragraph" w:styleId="8">
    <w:name w:val="heading 7"/>
    <w:basedOn w:val="1"/>
    <w:next w:val="1"/>
    <w:link w:val="63"/>
    <w:unhideWhenUsed/>
    <w:qFormat/>
    <w:uiPriority w:val="9"/>
    <w:pPr>
      <w:keepNext/>
      <w:keepLines/>
      <w:widowControl/>
      <w:spacing w:before="240" w:after="64" w:line="320" w:lineRule="auto"/>
      <w:jc w:val="left"/>
      <w:outlineLvl w:val="6"/>
    </w:pPr>
    <w:rPr>
      <w:rFonts w:ascii="宋体" w:hAnsi="宋体" w:eastAsia="宋体" w:cs="宋体"/>
      <w:b/>
      <w:bCs/>
      <w:kern w:val="0"/>
      <w:sz w:val="24"/>
      <w:szCs w:val="24"/>
    </w:rPr>
  </w:style>
  <w:style w:type="character" w:default="1" w:styleId="41">
    <w:name w:val="Default Paragraph Font"/>
    <w:semiHidden/>
    <w:unhideWhenUsed/>
    <w:uiPriority w:val="1"/>
  </w:style>
  <w:style w:type="table" w:default="1" w:styleId="39">
    <w:name w:val="Normal Table"/>
    <w:autoRedefine/>
    <w:semiHidden/>
    <w:unhideWhenUsed/>
    <w:qFormat/>
    <w:uiPriority w:val="99"/>
    <w:tblPr>
      <w:tblCellMar>
        <w:top w:w="0" w:type="dxa"/>
        <w:left w:w="108" w:type="dxa"/>
        <w:bottom w:w="0" w:type="dxa"/>
        <w:right w:w="108" w:type="dxa"/>
      </w:tblCellMar>
    </w:tblPr>
  </w:style>
  <w:style w:type="paragraph" w:styleId="9">
    <w:name w:val="toc 7"/>
    <w:basedOn w:val="1"/>
    <w:next w:val="1"/>
    <w:autoRedefine/>
    <w:unhideWhenUsed/>
    <w:qFormat/>
    <w:uiPriority w:val="39"/>
    <w:pPr>
      <w:ind w:left="2520" w:leftChars="1200"/>
    </w:pPr>
  </w:style>
  <w:style w:type="paragraph" w:styleId="10">
    <w:name w:val="Note Heading"/>
    <w:basedOn w:val="1"/>
    <w:next w:val="1"/>
    <w:link w:val="72"/>
    <w:autoRedefine/>
    <w:qFormat/>
    <w:uiPriority w:val="99"/>
    <w:pPr>
      <w:jc w:val="center"/>
    </w:pPr>
    <w:rPr>
      <w:rFonts w:ascii="Times New Roman" w:hAnsi="Times New Roman" w:eastAsia="宋体" w:cs="Times New Roman"/>
      <w:szCs w:val="21"/>
    </w:rPr>
  </w:style>
  <w:style w:type="paragraph" w:styleId="11">
    <w:name w:val="Normal Indent"/>
    <w:basedOn w:val="1"/>
    <w:qFormat/>
    <w:uiPriority w:val="0"/>
    <w:pPr>
      <w:ind w:firstLine="420" w:firstLineChars="200"/>
    </w:pPr>
    <w:rPr>
      <w:rFonts w:ascii="Times New Roman" w:hAnsi="Times New Roman" w:eastAsia="宋体" w:cs="Times New Roman"/>
      <w:szCs w:val="21"/>
    </w:rPr>
  </w:style>
  <w:style w:type="paragraph" w:styleId="12">
    <w:name w:val="caption"/>
    <w:basedOn w:val="1"/>
    <w:next w:val="1"/>
    <w:unhideWhenUsed/>
    <w:qFormat/>
    <w:uiPriority w:val="35"/>
    <w:rPr>
      <w:rFonts w:eastAsia="黑体" w:asciiTheme="majorHAnsi" w:hAnsiTheme="majorHAnsi" w:cstheme="majorBidi"/>
      <w:sz w:val="20"/>
      <w:szCs w:val="20"/>
    </w:rPr>
  </w:style>
  <w:style w:type="paragraph" w:styleId="13">
    <w:name w:val="Document Map"/>
    <w:basedOn w:val="1"/>
    <w:link w:val="77"/>
    <w:autoRedefine/>
    <w:unhideWhenUsed/>
    <w:qFormat/>
    <w:uiPriority w:val="99"/>
    <w:rPr>
      <w:rFonts w:ascii="宋体" w:hAnsi="Calibri" w:eastAsia="宋体" w:cs="Times New Roman"/>
      <w:sz w:val="18"/>
      <w:szCs w:val="18"/>
    </w:rPr>
  </w:style>
  <w:style w:type="paragraph" w:styleId="14">
    <w:name w:val="toa heading"/>
    <w:basedOn w:val="1"/>
    <w:next w:val="1"/>
    <w:autoRedefine/>
    <w:semiHidden/>
    <w:qFormat/>
    <w:uiPriority w:val="0"/>
    <w:pPr>
      <w:spacing w:before="120"/>
    </w:pPr>
    <w:rPr>
      <w:rFonts w:ascii="Arial" w:hAnsi="Arial" w:eastAsia="宋体" w:cs="Times New Roman"/>
      <w:b/>
      <w:bCs/>
      <w:szCs w:val="21"/>
    </w:rPr>
  </w:style>
  <w:style w:type="paragraph" w:styleId="15">
    <w:name w:val="annotation text"/>
    <w:basedOn w:val="1"/>
    <w:link w:val="53"/>
    <w:autoRedefine/>
    <w:unhideWhenUsed/>
    <w:qFormat/>
    <w:uiPriority w:val="99"/>
    <w:pPr>
      <w:jc w:val="left"/>
    </w:pPr>
  </w:style>
  <w:style w:type="paragraph" w:styleId="16">
    <w:name w:val="Salutation"/>
    <w:basedOn w:val="1"/>
    <w:next w:val="1"/>
    <w:link w:val="64"/>
    <w:autoRedefine/>
    <w:qFormat/>
    <w:uiPriority w:val="99"/>
    <w:rPr>
      <w:rFonts w:ascii="Times New Roman" w:hAnsi="Times New Roman" w:eastAsia="宋体" w:cs="Times New Roman"/>
      <w:szCs w:val="21"/>
    </w:rPr>
  </w:style>
  <w:style w:type="paragraph" w:styleId="17">
    <w:name w:val="List Bullet 3"/>
    <w:basedOn w:val="1"/>
    <w:qFormat/>
    <w:uiPriority w:val="0"/>
    <w:pPr>
      <w:tabs>
        <w:tab w:val="left" w:pos="1200"/>
      </w:tabs>
    </w:pPr>
    <w:rPr>
      <w:rFonts w:ascii="Times New Roman" w:hAnsi="Times New Roman" w:eastAsia="宋体" w:cs="Times New Roman"/>
      <w:szCs w:val="21"/>
    </w:rPr>
  </w:style>
  <w:style w:type="paragraph" w:styleId="18">
    <w:name w:val="Body Text"/>
    <w:basedOn w:val="1"/>
    <w:link w:val="69"/>
    <w:autoRedefine/>
    <w:qFormat/>
    <w:uiPriority w:val="99"/>
    <w:pPr>
      <w:spacing w:after="120"/>
    </w:pPr>
    <w:rPr>
      <w:rFonts w:ascii="Times New Roman" w:hAnsi="Times New Roman" w:eastAsia="宋体" w:cs="Times New Roman"/>
      <w:szCs w:val="21"/>
    </w:rPr>
  </w:style>
  <w:style w:type="paragraph" w:styleId="19">
    <w:name w:val="Body Text Indent"/>
    <w:basedOn w:val="1"/>
    <w:qFormat/>
    <w:uiPriority w:val="0"/>
    <w:pPr>
      <w:spacing w:line="480" w:lineRule="exact"/>
      <w:ind w:firstLine="480" w:firstLineChars="200"/>
    </w:pPr>
    <w:rPr>
      <w:sz w:val="24"/>
    </w:rPr>
  </w:style>
  <w:style w:type="paragraph" w:styleId="20">
    <w:name w:val="toc 5"/>
    <w:basedOn w:val="1"/>
    <w:next w:val="1"/>
    <w:unhideWhenUsed/>
    <w:qFormat/>
    <w:uiPriority w:val="39"/>
    <w:pPr>
      <w:ind w:left="1680" w:leftChars="800"/>
    </w:pPr>
  </w:style>
  <w:style w:type="paragraph" w:styleId="21">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rPr>
  </w:style>
  <w:style w:type="paragraph" w:styleId="22">
    <w:name w:val="Plain Text"/>
    <w:basedOn w:val="1"/>
    <w:link w:val="67"/>
    <w:qFormat/>
    <w:uiPriority w:val="0"/>
    <w:rPr>
      <w:rFonts w:ascii="宋体" w:hAnsi="Courier New" w:eastAsia="宋体" w:cs="Times New Roman"/>
      <w:szCs w:val="20"/>
    </w:rPr>
  </w:style>
  <w:style w:type="paragraph" w:styleId="23">
    <w:name w:val="toc 8"/>
    <w:basedOn w:val="1"/>
    <w:next w:val="1"/>
    <w:unhideWhenUsed/>
    <w:qFormat/>
    <w:uiPriority w:val="39"/>
    <w:pPr>
      <w:ind w:left="2940" w:leftChars="1400"/>
    </w:pPr>
  </w:style>
  <w:style w:type="paragraph" w:styleId="24">
    <w:name w:val="Date"/>
    <w:basedOn w:val="1"/>
    <w:next w:val="1"/>
    <w:link w:val="71"/>
    <w:qFormat/>
    <w:uiPriority w:val="99"/>
    <w:pPr>
      <w:ind w:left="100" w:leftChars="2500"/>
    </w:pPr>
    <w:rPr>
      <w:rFonts w:ascii="Times New Roman" w:hAnsi="Times New Roman" w:eastAsia="宋体" w:cs="Times New Roman"/>
      <w:szCs w:val="21"/>
    </w:rPr>
  </w:style>
  <w:style w:type="paragraph" w:styleId="25">
    <w:name w:val="endnote text"/>
    <w:basedOn w:val="1"/>
    <w:link w:val="81"/>
    <w:unhideWhenUsed/>
    <w:qFormat/>
    <w:uiPriority w:val="99"/>
    <w:pPr>
      <w:widowControl/>
      <w:snapToGrid w:val="0"/>
      <w:jc w:val="left"/>
    </w:pPr>
    <w:rPr>
      <w:rFonts w:ascii="宋体" w:hAnsi="宋体" w:eastAsia="宋体" w:cs="宋体"/>
      <w:kern w:val="0"/>
      <w:szCs w:val="24"/>
    </w:rPr>
  </w:style>
  <w:style w:type="paragraph" w:styleId="26">
    <w:name w:val="Balloon Text"/>
    <w:basedOn w:val="1"/>
    <w:link w:val="55"/>
    <w:unhideWhenUsed/>
    <w:qFormat/>
    <w:uiPriority w:val="99"/>
    <w:rPr>
      <w:sz w:val="18"/>
      <w:szCs w:val="18"/>
    </w:rPr>
  </w:style>
  <w:style w:type="paragraph" w:styleId="27">
    <w:name w:val="footer"/>
    <w:basedOn w:val="1"/>
    <w:link w:val="47"/>
    <w:unhideWhenUsed/>
    <w:qFormat/>
    <w:uiPriority w:val="99"/>
    <w:pPr>
      <w:tabs>
        <w:tab w:val="center" w:pos="4153"/>
        <w:tab w:val="right" w:pos="8306"/>
      </w:tabs>
      <w:snapToGrid w:val="0"/>
      <w:jc w:val="left"/>
    </w:pPr>
    <w:rPr>
      <w:sz w:val="18"/>
      <w:szCs w:val="18"/>
    </w:rPr>
  </w:style>
  <w:style w:type="paragraph" w:styleId="28">
    <w:name w:val="header"/>
    <w:basedOn w:val="1"/>
    <w:link w:val="46"/>
    <w:unhideWhenUsed/>
    <w:qFormat/>
    <w:uiPriority w:val="99"/>
    <w:pPr>
      <w:pBdr>
        <w:bottom w:val="single" w:color="auto" w:sz="6" w:space="1"/>
      </w:pBdr>
      <w:tabs>
        <w:tab w:val="center" w:pos="4153"/>
        <w:tab w:val="right" w:pos="8306"/>
      </w:tabs>
      <w:snapToGrid w:val="0"/>
      <w:jc w:val="center"/>
    </w:pPr>
    <w:rPr>
      <w:sz w:val="18"/>
      <w:szCs w:val="18"/>
    </w:rPr>
  </w:style>
  <w:style w:type="paragraph" w:styleId="29">
    <w:name w:val="toc 1"/>
    <w:basedOn w:val="1"/>
    <w:next w:val="1"/>
    <w:unhideWhenUsed/>
    <w:qFormat/>
    <w:uiPriority w:val="39"/>
  </w:style>
  <w:style w:type="paragraph" w:styleId="30">
    <w:name w:val="toc 4"/>
    <w:basedOn w:val="1"/>
    <w:next w:val="1"/>
    <w:unhideWhenUsed/>
    <w:qFormat/>
    <w:uiPriority w:val="39"/>
    <w:pPr>
      <w:ind w:left="1260" w:leftChars="600"/>
    </w:pPr>
  </w:style>
  <w:style w:type="paragraph" w:styleId="31">
    <w:name w:val="toc 6"/>
    <w:basedOn w:val="1"/>
    <w:next w:val="1"/>
    <w:unhideWhenUsed/>
    <w:qFormat/>
    <w:uiPriority w:val="39"/>
    <w:pPr>
      <w:ind w:left="2100" w:leftChars="1000"/>
    </w:pPr>
  </w:style>
  <w:style w:type="paragraph" w:styleId="32">
    <w:name w:val="toc 2"/>
    <w:basedOn w:val="1"/>
    <w:next w:val="1"/>
    <w:unhideWhenUsed/>
    <w:qFormat/>
    <w:uiPriority w:val="39"/>
    <w:pPr>
      <w:ind w:left="420" w:leftChars="200"/>
    </w:pPr>
  </w:style>
  <w:style w:type="paragraph" w:styleId="33">
    <w:name w:val="toc 9"/>
    <w:basedOn w:val="1"/>
    <w:next w:val="1"/>
    <w:unhideWhenUsed/>
    <w:qFormat/>
    <w:uiPriority w:val="39"/>
    <w:pPr>
      <w:ind w:left="3360" w:leftChars="1600"/>
    </w:pPr>
  </w:style>
  <w:style w:type="paragraph" w:styleId="3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35">
    <w:name w:val="index 1"/>
    <w:basedOn w:val="1"/>
    <w:next w:val="1"/>
    <w:semiHidden/>
    <w:qFormat/>
    <w:uiPriority w:val="0"/>
    <w:pPr>
      <w:widowControl/>
      <w:ind w:firstLine="420" w:firstLineChars="200"/>
      <w:jc w:val="left"/>
    </w:pPr>
    <w:rPr>
      <w:rFonts w:ascii="宋体" w:hAnsi="宋体" w:eastAsia="宋体" w:cs="Times New Roman"/>
      <w:color w:val="000000"/>
      <w:kern w:val="0"/>
      <w:szCs w:val="21"/>
    </w:rPr>
  </w:style>
  <w:style w:type="paragraph" w:styleId="36">
    <w:name w:val="Title"/>
    <w:basedOn w:val="1"/>
    <w:next w:val="1"/>
    <w:link w:val="79"/>
    <w:qFormat/>
    <w:uiPriority w:val="0"/>
    <w:pPr>
      <w:spacing w:before="240" w:after="60"/>
      <w:jc w:val="center"/>
      <w:outlineLvl w:val="0"/>
    </w:pPr>
    <w:rPr>
      <w:rFonts w:eastAsia="宋体" w:asciiTheme="majorHAnsi" w:hAnsiTheme="majorHAnsi" w:cstheme="majorBidi"/>
      <w:b/>
      <w:bCs/>
      <w:sz w:val="32"/>
      <w:szCs w:val="32"/>
    </w:rPr>
  </w:style>
  <w:style w:type="paragraph" w:styleId="37">
    <w:name w:val="annotation subject"/>
    <w:basedOn w:val="15"/>
    <w:next w:val="15"/>
    <w:link w:val="54"/>
    <w:unhideWhenUsed/>
    <w:qFormat/>
    <w:uiPriority w:val="99"/>
    <w:rPr>
      <w:b/>
      <w:bCs/>
    </w:rPr>
  </w:style>
  <w:style w:type="paragraph" w:styleId="38">
    <w:name w:val="Body Text First Indent 2"/>
    <w:basedOn w:val="19"/>
    <w:unhideWhenUsed/>
    <w:qFormat/>
    <w:uiPriority w:val="99"/>
    <w:pPr>
      <w:ind w:firstLine="420"/>
    </w:pPr>
  </w:style>
  <w:style w:type="table" w:styleId="40">
    <w:name w:val="Table Grid"/>
    <w:basedOn w:val="3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endnote reference"/>
    <w:basedOn w:val="41"/>
    <w:unhideWhenUsed/>
    <w:qFormat/>
    <w:uiPriority w:val="99"/>
    <w:rPr>
      <w:vertAlign w:val="superscript"/>
    </w:rPr>
  </w:style>
  <w:style w:type="character" w:styleId="43">
    <w:name w:val="page number"/>
    <w:basedOn w:val="41"/>
    <w:qFormat/>
    <w:uiPriority w:val="0"/>
  </w:style>
  <w:style w:type="character" w:styleId="44">
    <w:name w:val="Hyperlink"/>
    <w:basedOn w:val="41"/>
    <w:unhideWhenUsed/>
    <w:qFormat/>
    <w:uiPriority w:val="99"/>
    <w:rPr>
      <w:color w:val="0563C1" w:themeColor="hyperlink"/>
      <w:u w:val="single"/>
      <w14:textFill>
        <w14:solidFill>
          <w14:schemeClr w14:val="hlink"/>
        </w14:solidFill>
      </w14:textFill>
    </w:rPr>
  </w:style>
  <w:style w:type="character" w:styleId="45">
    <w:name w:val="annotation reference"/>
    <w:basedOn w:val="41"/>
    <w:unhideWhenUsed/>
    <w:qFormat/>
    <w:uiPriority w:val="0"/>
    <w:rPr>
      <w:sz w:val="21"/>
      <w:szCs w:val="21"/>
    </w:rPr>
  </w:style>
  <w:style w:type="character" w:customStyle="1" w:styleId="46">
    <w:name w:val="页眉 字符"/>
    <w:basedOn w:val="41"/>
    <w:link w:val="28"/>
    <w:qFormat/>
    <w:uiPriority w:val="99"/>
    <w:rPr>
      <w:sz w:val="18"/>
      <w:szCs w:val="18"/>
    </w:rPr>
  </w:style>
  <w:style w:type="character" w:customStyle="1" w:styleId="47">
    <w:name w:val="页脚 字符"/>
    <w:basedOn w:val="41"/>
    <w:link w:val="27"/>
    <w:qFormat/>
    <w:uiPriority w:val="99"/>
    <w:rPr>
      <w:sz w:val="18"/>
      <w:szCs w:val="18"/>
    </w:rPr>
  </w:style>
  <w:style w:type="paragraph" w:customStyle="1" w:styleId="48">
    <w:name w:val="aSTL正文"/>
    <w:basedOn w:val="1"/>
    <w:link w:val="49"/>
    <w:qFormat/>
    <w:uiPriority w:val="0"/>
    <w:pPr>
      <w:spacing w:line="300" w:lineRule="auto"/>
      <w:ind w:firstLine="200" w:firstLineChars="200"/>
    </w:pPr>
    <w:rPr>
      <w:rFonts w:ascii="Calibri" w:hAnsi="Calibri" w:eastAsia="宋体" w:cs="Times New Roman"/>
      <w:kern w:val="0"/>
      <w:sz w:val="24"/>
      <w:szCs w:val="20"/>
      <w:lang w:val="zh-CN"/>
    </w:rPr>
  </w:style>
  <w:style w:type="character" w:customStyle="1" w:styleId="49">
    <w:name w:val="aSTL正文 Char"/>
    <w:link w:val="48"/>
    <w:qFormat/>
    <w:uiPriority w:val="0"/>
    <w:rPr>
      <w:rFonts w:ascii="Calibri" w:hAnsi="Calibri" w:eastAsia="宋体" w:cs="Times New Roman"/>
      <w:kern w:val="0"/>
      <w:sz w:val="24"/>
      <w:szCs w:val="20"/>
      <w:lang w:val="zh-CN" w:eastAsia="zh-CN"/>
    </w:rPr>
  </w:style>
  <w:style w:type="paragraph" w:customStyle="1" w:styleId="50">
    <w:name w:val="4.1.1.1.1"/>
    <w:basedOn w:val="1"/>
    <w:link w:val="51"/>
    <w:qFormat/>
    <w:uiPriority w:val="0"/>
    <w:pPr>
      <w:tabs>
        <w:tab w:val="left" w:pos="142"/>
      </w:tabs>
      <w:spacing w:beforeLines="50" w:afterLines="50"/>
      <w:ind w:left="200" w:leftChars="200"/>
      <w:jc w:val="left"/>
      <w:outlineLvl w:val="3"/>
    </w:pPr>
    <w:rPr>
      <w:rFonts w:ascii="宋体" w:hAnsi="宋体" w:eastAsia="宋体" w:cs="Times New Roman"/>
      <w:b/>
      <w:color w:val="000000"/>
      <w:kern w:val="0"/>
      <w:sz w:val="24"/>
      <w:szCs w:val="24"/>
      <w:lang w:val="zh-CN"/>
    </w:rPr>
  </w:style>
  <w:style w:type="character" w:customStyle="1" w:styleId="51">
    <w:name w:val="4.1.1.1.1 Char"/>
    <w:link w:val="50"/>
    <w:qFormat/>
    <w:uiPriority w:val="0"/>
    <w:rPr>
      <w:rFonts w:ascii="宋体" w:hAnsi="宋体" w:eastAsia="宋体" w:cs="Times New Roman"/>
      <w:b/>
      <w:color w:val="000000"/>
      <w:kern w:val="0"/>
      <w:sz w:val="24"/>
      <w:szCs w:val="24"/>
      <w:lang w:val="zh-CN" w:eastAsia="zh-CN"/>
    </w:rPr>
  </w:style>
  <w:style w:type="paragraph" w:styleId="52">
    <w:name w:val="List Paragraph"/>
    <w:basedOn w:val="1"/>
    <w:qFormat/>
    <w:uiPriority w:val="34"/>
    <w:pPr>
      <w:ind w:firstLine="420" w:firstLineChars="200"/>
    </w:pPr>
    <w:rPr>
      <w:rFonts w:ascii="Calibri" w:hAnsi="Calibri" w:eastAsia="宋体" w:cs="Times New Roman"/>
    </w:rPr>
  </w:style>
  <w:style w:type="character" w:customStyle="1" w:styleId="53">
    <w:name w:val="批注文字 字符"/>
    <w:basedOn w:val="41"/>
    <w:link w:val="15"/>
    <w:qFormat/>
    <w:uiPriority w:val="99"/>
  </w:style>
  <w:style w:type="character" w:customStyle="1" w:styleId="54">
    <w:name w:val="批注主题 字符"/>
    <w:basedOn w:val="53"/>
    <w:link w:val="37"/>
    <w:qFormat/>
    <w:uiPriority w:val="99"/>
    <w:rPr>
      <w:b/>
      <w:bCs/>
    </w:rPr>
  </w:style>
  <w:style w:type="character" w:customStyle="1" w:styleId="55">
    <w:name w:val="批注框文本 字符"/>
    <w:basedOn w:val="41"/>
    <w:link w:val="26"/>
    <w:qFormat/>
    <w:uiPriority w:val="99"/>
    <w:rPr>
      <w:sz w:val="18"/>
      <w:szCs w:val="18"/>
    </w:rPr>
  </w:style>
  <w:style w:type="character" w:customStyle="1" w:styleId="56">
    <w:name w:val="标题 1 字符"/>
    <w:basedOn w:val="41"/>
    <w:link w:val="2"/>
    <w:qFormat/>
    <w:uiPriority w:val="99"/>
    <w:rPr>
      <w:b/>
      <w:bCs/>
      <w:kern w:val="44"/>
      <w:sz w:val="44"/>
      <w:szCs w:val="44"/>
    </w:rPr>
  </w:style>
  <w:style w:type="paragraph" w:customStyle="1" w:styleId="57">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58">
    <w:name w:val="标题 2 字符"/>
    <w:basedOn w:val="41"/>
    <w:link w:val="3"/>
    <w:qFormat/>
    <w:uiPriority w:val="0"/>
    <w:rPr>
      <w:rFonts w:asciiTheme="majorHAnsi" w:hAnsiTheme="majorHAnsi" w:eastAsiaTheme="majorEastAsia" w:cstheme="majorBidi"/>
      <w:b/>
      <w:bCs/>
      <w:sz w:val="32"/>
      <w:szCs w:val="32"/>
    </w:rPr>
  </w:style>
  <w:style w:type="character" w:customStyle="1" w:styleId="59">
    <w:name w:val="标题 3 字符"/>
    <w:basedOn w:val="41"/>
    <w:link w:val="4"/>
    <w:qFormat/>
    <w:uiPriority w:val="9"/>
    <w:rPr>
      <w:rFonts w:ascii="Calibri" w:hAnsi="Calibri" w:eastAsia="宋体" w:cs="Times New Roman"/>
      <w:b/>
      <w:bCs/>
      <w:szCs w:val="32"/>
    </w:rPr>
  </w:style>
  <w:style w:type="character" w:customStyle="1" w:styleId="60">
    <w:name w:val="标题 4 字符"/>
    <w:basedOn w:val="41"/>
    <w:link w:val="5"/>
    <w:qFormat/>
    <w:uiPriority w:val="9"/>
    <w:rPr>
      <w:rFonts w:ascii="Cambria" w:hAnsi="Cambria" w:eastAsia="宋体" w:cs="Times New Roman"/>
      <w:b/>
      <w:bCs/>
      <w:szCs w:val="28"/>
    </w:rPr>
  </w:style>
  <w:style w:type="character" w:customStyle="1" w:styleId="61">
    <w:name w:val="标题 5 字符"/>
    <w:basedOn w:val="41"/>
    <w:link w:val="6"/>
    <w:qFormat/>
    <w:uiPriority w:val="9"/>
    <w:rPr>
      <w:rFonts w:ascii="Calibri" w:hAnsi="Calibri" w:eastAsia="宋体" w:cs="Times New Roman"/>
      <w:b/>
      <w:bCs/>
      <w:szCs w:val="28"/>
    </w:rPr>
  </w:style>
  <w:style w:type="character" w:customStyle="1" w:styleId="62">
    <w:name w:val="标题 6 字符"/>
    <w:basedOn w:val="41"/>
    <w:link w:val="7"/>
    <w:qFormat/>
    <w:uiPriority w:val="9"/>
    <w:rPr>
      <w:rFonts w:eastAsia="宋体" w:asciiTheme="majorHAnsi" w:hAnsiTheme="majorHAnsi" w:cstheme="majorBidi"/>
      <w:b/>
      <w:bCs/>
      <w:kern w:val="0"/>
      <w:szCs w:val="24"/>
    </w:rPr>
  </w:style>
  <w:style w:type="character" w:customStyle="1" w:styleId="63">
    <w:name w:val="标题 7 字符"/>
    <w:basedOn w:val="41"/>
    <w:link w:val="8"/>
    <w:qFormat/>
    <w:uiPriority w:val="9"/>
    <w:rPr>
      <w:rFonts w:ascii="宋体" w:hAnsi="宋体" w:eastAsia="宋体" w:cs="宋体"/>
      <w:b/>
      <w:bCs/>
      <w:kern w:val="0"/>
      <w:sz w:val="24"/>
      <w:szCs w:val="24"/>
    </w:rPr>
  </w:style>
  <w:style w:type="character" w:customStyle="1" w:styleId="64">
    <w:name w:val="称呼 字符"/>
    <w:basedOn w:val="41"/>
    <w:link w:val="16"/>
    <w:qFormat/>
    <w:uiPriority w:val="99"/>
    <w:rPr>
      <w:rFonts w:ascii="Times New Roman" w:hAnsi="Times New Roman" w:eastAsia="宋体" w:cs="Times New Roman"/>
      <w:szCs w:val="21"/>
    </w:rPr>
  </w:style>
  <w:style w:type="character" w:customStyle="1" w:styleId="65">
    <w:name w:val="notnullcss1"/>
    <w:basedOn w:val="41"/>
    <w:qFormat/>
    <w:uiPriority w:val="99"/>
    <w:rPr>
      <w:rFonts w:eastAsia="宋体" w:cs="Times New Roman"/>
      <w:color w:val="FF0000"/>
      <w:kern w:val="2"/>
      <w:sz w:val="24"/>
      <w:szCs w:val="24"/>
      <w:lang w:val="en-US" w:eastAsia="zh-CN" w:bidi="ar-SA"/>
    </w:rPr>
  </w:style>
  <w:style w:type="paragraph" w:customStyle="1" w:styleId="66">
    <w:name w:val="xl61"/>
    <w:basedOn w:val="1"/>
    <w:qFormat/>
    <w:uiPriority w:val="99"/>
    <w:pPr>
      <w:widowControl/>
      <w:spacing w:before="100" w:after="100"/>
      <w:jc w:val="right"/>
    </w:pPr>
    <w:rPr>
      <w:rFonts w:ascii="Arial Unicode MS" w:hAnsi="Times New Roman" w:eastAsia="Arial Unicode MS" w:cs="Times New Roman"/>
      <w:kern w:val="0"/>
      <w:sz w:val="18"/>
      <w:szCs w:val="18"/>
    </w:rPr>
  </w:style>
  <w:style w:type="character" w:customStyle="1" w:styleId="67">
    <w:name w:val="纯文本 字符"/>
    <w:basedOn w:val="41"/>
    <w:link w:val="22"/>
    <w:qFormat/>
    <w:uiPriority w:val="0"/>
    <w:rPr>
      <w:rFonts w:ascii="宋体" w:hAnsi="Courier New" w:eastAsia="宋体" w:cs="Times New Roman"/>
      <w:szCs w:val="20"/>
    </w:rPr>
  </w:style>
  <w:style w:type="character" w:customStyle="1" w:styleId="68">
    <w:name w:val="headline-content2"/>
    <w:basedOn w:val="41"/>
    <w:qFormat/>
    <w:uiPriority w:val="0"/>
    <w:rPr>
      <w:rFonts w:eastAsia="宋体" w:cs="Times New Roman"/>
      <w:kern w:val="2"/>
      <w:sz w:val="24"/>
      <w:szCs w:val="24"/>
      <w:lang w:val="en-US" w:eastAsia="zh-CN" w:bidi="ar-SA"/>
    </w:rPr>
  </w:style>
  <w:style w:type="character" w:customStyle="1" w:styleId="69">
    <w:name w:val="正文文本 字符"/>
    <w:basedOn w:val="41"/>
    <w:link w:val="18"/>
    <w:qFormat/>
    <w:uiPriority w:val="99"/>
    <w:rPr>
      <w:rFonts w:ascii="Times New Roman" w:hAnsi="Times New Roman" w:eastAsia="宋体" w:cs="Times New Roman"/>
      <w:szCs w:val="21"/>
    </w:rPr>
  </w:style>
  <w:style w:type="paragraph" w:customStyle="1" w:styleId="70">
    <w:name w:val="write2"/>
    <w:basedOn w:val="1"/>
    <w:qFormat/>
    <w:uiPriority w:val="99"/>
    <w:pPr>
      <w:widowControl/>
      <w:tabs>
        <w:tab w:val="left" w:pos="709"/>
      </w:tabs>
      <w:overflowPunct w:val="0"/>
      <w:autoSpaceDE w:val="0"/>
      <w:autoSpaceDN w:val="0"/>
      <w:adjustRightInd w:val="0"/>
      <w:textAlignment w:val="baseline"/>
    </w:pPr>
    <w:rPr>
      <w:rFonts w:ascii="Helvetica-Narrow" w:hAnsi="Helvetica-Narrow" w:eastAsia="宋体" w:cs="Times New Roman"/>
      <w:kern w:val="0"/>
      <w:szCs w:val="24"/>
      <w:lang w:val="en-AU"/>
    </w:rPr>
  </w:style>
  <w:style w:type="character" w:customStyle="1" w:styleId="71">
    <w:name w:val="日期 字符"/>
    <w:basedOn w:val="41"/>
    <w:link w:val="24"/>
    <w:qFormat/>
    <w:uiPriority w:val="99"/>
    <w:rPr>
      <w:rFonts w:ascii="Times New Roman" w:hAnsi="Times New Roman" w:eastAsia="宋体" w:cs="Times New Roman"/>
      <w:szCs w:val="21"/>
    </w:rPr>
  </w:style>
  <w:style w:type="character" w:customStyle="1" w:styleId="72">
    <w:name w:val="注释标题 字符"/>
    <w:basedOn w:val="41"/>
    <w:link w:val="10"/>
    <w:qFormat/>
    <w:uiPriority w:val="99"/>
    <w:rPr>
      <w:rFonts w:ascii="Times New Roman" w:hAnsi="Times New Roman" w:eastAsia="宋体" w:cs="Times New Roman"/>
      <w:szCs w:val="21"/>
    </w:rPr>
  </w:style>
  <w:style w:type="paragraph" w:customStyle="1" w:styleId="73">
    <w:name w:val="标题5"/>
    <w:basedOn w:val="1"/>
    <w:qFormat/>
    <w:uiPriority w:val="0"/>
    <w:pPr>
      <w:keepNext/>
      <w:keepLines/>
      <w:spacing w:before="60" w:after="60"/>
      <w:ind w:hanging="420" w:hangingChars="200"/>
      <w:outlineLvl w:val="4"/>
    </w:pPr>
    <w:rPr>
      <w:rFonts w:ascii="宋体" w:hAnsi="宋体" w:eastAsia="宋体" w:cs="Times New Roman"/>
      <w:b/>
      <w:bCs/>
      <w:szCs w:val="21"/>
    </w:rPr>
  </w:style>
  <w:style w:type="paragraph" w:customStyle="1" w:styleId="74">
    <w:name w:val="修订1"/>
    <w:hidden/>
    <w:semiHidden/>
    <w:qFormat/>
    <w:uiPriority w:val="99"/>
    <w:rPr>
      <w:rFonts w:ascii="Calibri" w:hAnsi="Calibri" w:eastAsia="宋体" w:cs="Times New Roman"/>
      <w:kern w:val="2"/>
      <w:sz w:val="21"/>
      <w:szCs w:val="22"/>
      <w:lang w:val="en-US" w:eastAsia="zh-CN" w:bidi="ar-SA"/>
    </w:rPr>
  </w:style>
  <w:style w:type="character" w:customStyle="1" w:styleId="75">
    <w:name w:val="正文的样式 Char"/>
    <w:basedOn w:val="41"/>
    <w:link w:val="76"/>
    <w:qFormat/>
    <w:uiPriority w:val="0"/>
    <w:rPr>
      <w:szCs w:val="24"/>
    </w:rPr>
  </w:style>
  <w:style w:type="paragraph" w:customStyle="1" w:styleId="76">
    <w:name w:val="正文的样式"/>
    <w:basedOn w:val="1"/>
    <w:link w:val="75"/>
    <w:qFormat/>
    <w:uiPriority w:val="0"/>
    <w:pPr>
      <w:spacing w:before="100" w:after="100"/>
    </w:pPr>
    <w:rPr>
      <w:szCs w:val="24"/>
    </w:rPr>
  </w:style>
  <w:style w:type="character" w:customStyle="1" w:styleId="77">
    <w:name w:val="文档结构图 字符"/>
    <w:basedOn w:val="41"/>
    <w:link w:val="13"/>
    <w:semiHidden/>
    <w:qFormat/>
    <w:uiPriority w:val="99"/>
    <w:rPr>
      <w:rFonts w:ascii="宋体" w:hAnsi="Calibri" w:eastAsia="宋体" w:cs="Times New Roman"/>
      <w:sz w:val="18"/>
      <w:szCs w:val="18"/>
    </w:rPr>
  </w:style>
  <w:style w:type="character" w:styleId="78">
    <w:name w:val="Placeholder Text"/>
    <w:basedOn w:val="41"/>
    <w:semiHidden/>
    <w:qFormat/>
    <w:uiPriority w:val="99"/>
    <w:rPr>
      <w:color w:val="auto"/>
    </w:rPr>
  </w:style>
  <w:style w:type="character" w:customStyle="1" w:styleId="79">
    <w:name w:val="标题 字符"/>
    <w:basedOn w:val="41"/>
    <w:link w:val="36"/>
    <w:qFormat/>
    <w:uiPriority w:val="0"/>
    <w:rPr>
      <w:rFonts w:eastAsia="宋体" w:asciiTheme="majorHAnsi" w:hAnsiTheme="majorHAnsi" w:cstheme="majorBidi"/>
      <w:b/>
      <w:bCs/>
      <w:sz w:val="32"/>
      <w:szCs w:val="32"/>
    </w:rPr>
  </w:style>
  <w:style w:type="paragraph" w:styleId="80">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81">
    <w:name w:val="尾注文本 字符"/>
    <w:basedOn w:val="41"/>
    <w:link w:val="25"/>
    <w:semiHidden/>
    <w:qFormat/>
    <w:uiPriority w:val="99"/>
    <w:rPr>
      <w:rFonts w:ascii="宋体" w:hAnsi="宋体" w:eastAsia="宋体" w:cs="宋体"/>
      <w:kern w:val="0"/>
      <w:szCs w:val="24"/>
    </w:rPr>
  </w:style>
  <w:style w:type="character" w:customStyle="1" w:styleId="82">
    <w:name w:val="批注主题 Char1"/>
    <w:basedOn w:val="53"/>
    <w:semiHidden/>
    <w:qFormat/>
    <w:uiPriority w:val="99"/>
    <w:rPr>
      <w:rFonts w:ascii="Times New Roman" w:hAnsi="Times New Roman" w:eastAsia="宋体" w:cs="Times New Roman"/>
      <w:b/>
      <w:bCs/>
      <w:szCs w:val="21"/>
    </w:rPr>
  </w:style>
  <w:style w:type="character" w:customStyle="1" w:styleId="83">
    <w:name w:val="span_"/>
    <w:basedOn w:val="41"/>
    <w:qFormat/>
    <w:uiPriority w:val="0"/>
  </w:style>
  <w:style w:type="paragraph" w:customStyle="1" w:styleId="84">
    <w:name w:val="标题  3"/>
    <w:basedOn w:val="1"/>
    <w:next w:val="1"/>
    <w:link w:val="85"/>
    <w:qFormat/>
    <w:uiPriority w:val="0"/>
    <w:pPr>
      <w:keepNext/>
      <w:keepLines/>
      <w:spacing w:before="100" w:beforeAutospacing="1" w:after="100" w:afterAutospacing="1" w:line="415" w:lineRule="auto"/>
    </w:pPr>
    <w:rPr>
      <w:rFonts w:ascii="Times New Roman" w:hAnsi="Times New Roman" w:eastAsia="宋体" w:cs="Times New Roman"/>
      <w:b/>
      <w:szCs w:val="24"/>
    </w:rPr>
  </w:style>
  <w:style w:type="character" w:customStyle="1" w:styleId="85">
    <w:name w:val="标题  3 Char"/>
    <w:basedOn w:val="41"/>
    <w:link w:val="84"/>
    <w:qFormat/>
    <w:uiPriority w:val="0"/>
    <w:rPr>
      <w:rFonts w:ascii="Times New Roman" w:hAnsi="Times New Roman" w:eastAsia="宋体" w:cs="Times New Roman"/>
      <w:b/>
      <w:szCs w:val="24"/>
    </w:rPr>
  </w:style>
  <w:style w:type="paragraph" w:customStyle="1" w:styleId="86">
    <w:name w:val="列出段落1"/>
    <w:basedOn w:val="1"/>
    <w:qFormat/>
    <w:uiPriority w:val="0"/>
    <w:pPr>
      <w:ind w:firstLine="420" w:firstLineChars="200"/>
    </w:pPr>
    <w:rPr>
      <w:rFonts w:ascii="Calibri" w:hAnsi="Calibri" w:eastAsia="宋体" w:cs="Calibri"/>
      <w:szCs w:val="21"/>
    </w:rPr>
  </w:style>
  <w:style w:type="paragraph" w:customStyle="1" w:styleId="87">
    <w:name w:val="报告正文格式1"/>
    <w:basedOn w:val="1"/>
    <w:qFormat/>
    <w:uiPriority w:val="0"/>
    <w:pPr>
      <w:spacing w:line="360" w:lineRule="auto"/>
      <w:ind w:firstLine="200" w:firstLineChars="200"/>
      <w:jc w:val="left"/>
    </w:pPr>
    <w:rPr>
      <w:rFonts w:ascii="Times New Roman" w:hAnsi="Times New Roman" w:eastAsia="仿宋" w:cs="Times New Roman"/>
      <w:bCs/>
      <w:sz w:val="24"/>
      <w:szCs w:val="24"/>
    </w:rPr>
  </w:style>
  <w:style w:type="paragraph" w:customStyle="1" w:styleId="88">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table" w:customStyle="1" w:styleId="89">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90">
    <w:name w:val="Table Paragraph"/>
    <w:basedOn w:val="1"/>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91">
    <w:name w:val="前言标题"/>
    <w:basedOn w:val="3"/>
    <w:link w:val="93"/>
    <w:qFormat/>
    <w:uiPriority w:val="0"/>
    <w:pPr>
      <w:spacing w:before="0" w:after="0" w:line="566" w:lineRule="auto"/>
      <w:jc w:val="left"/>
      <w:outlineLvl w:val="9"/>
    </w:pPr>
    <w:rPr>
      <w:rFonts w:ascii="Times New Roman" w:hAnsi="Times New Roman" w:eastAsia="黑体" w:cs="Times New Roman"/>
      <w:b w:val="0"/>
      <w:sz w:val="21"/>
    </w:rPr>
  </w:style>
  <w:style w:type="paragraph" w:customStyle="1" w:styleId="92">
    <w:name w:val="前言大标题"/>
    <w:basedOn w:val="2"/>
    <w:link w:val="94"/>
    <w:qFormat/>
    <w:uiPriority w:val="0"/>
    <w:pPr>
      <w:spacing w:before="0" w:after="680" w:line="283" w:lineRule="auto"/>
      <w:ind w:firstLine="200" w:firstLineChars="200"/>
      <w:jc w:val="center"/>
      <w:outlineLvl w:val="9"/>
    </w:pPr>
    <w:rPr>
      <w:rFonts w:ascii="Times New Roman" w:hAnsi="Times New Roman" w:eastAsia="黑体" w:cs="Times New Roman"/>
      <w:b w:val="0"/>
      <w:sz w:val="32"/>
    </w:rPr>
  </w:style>
  <w:style w:type="character" w:customStyle="1" w:styleId="93">
    <w:name w:val="前言标题 Char"/>
    <w:basedOn w:val="41"/>
    <w:link w:val="91"/>
    <w:qFormat/>
    <w:uiPriority w:val="0"/>
    <w:rPr>
      <w:rFonts w:eastAsia="黑体"/>
      <w:bCs/>
      <w:kern w:val="2"/>
      <w:sz w:val="21"/>
      <w:szCs w:val="32"/>
    </w:rPr>
  </w:style>
  <w:style w:type="character" w:customStyle="1" w:styleId="94">
    <w:name w:val="前言大标题 Char"/>
    <w:link w:val="92"/>
    <w:qFormat/>
    <w:uiPriority w:val="0"/>
    <w:rPr>
      <w:rFonts w:eastAsia="黑体"/>
      <w:bCs/>
      <w:kern w:val="44"/>
      <w:sz w:val="32"/>
      <w:szCs w:val="44"/>
    </w:rPr>
  </w:style>
  <w:style w:type="paragraph" w:customStyle="1" w:styleId="95">
    <w:name w:val="表格内"/>
    <w:basedOn w:val="1"/>
    <w:qFormat/>
    <w:uiPriority w:val="99"/>
    <w:pPr>
      <w:widowControl/>
      <w:adjustRightInd w:val="0"/>
      <w:snapToGrid w:val="0"/>
      <w:jc w:val="center"/>
    </w:pPr>
    <w:rPr>
      <w:rFonts w:ascii="Times New Roman" w:hAnsi="Times New Roman"/>
      <w:kern w:val="0"/>
      <w:szCs w:val="20"/>
    </w:rPr>
  </w:style>
  <w:style w:type="paragraph" w:customStyle="1" w:styleId="96">
    <w:name w:val="WPSOffice手动目录 1"/>
    <w:qFormat/>
    <w:uiPriority w:val="0"/>
    <w:rPr>
      <w:rFonts w:ascii="Times New Roman" w:hAnsi="Times New Roman" w:eastAsia="宋体" w:cs="Times New Roman"/>
      <w:lang w:val="en-US" w:eastAsia="zh-CN" w:bidi="ar-SA"/>
    </w:rPr>
  </w:style>
  <w:style w:type="paragraph" w:customStyle="1" w:styleId="97">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98">
    <w:name w:val="前言、引言标题"/>
    <w:next w:val="1"/>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99">
    <w:name w:val="章标题"/>
    <w:next w:val="1"/>
    <w:qFormat/>
    <w:uiPriority w:val="0"/>
    <w:pPr>
      <w:numPr>
        <w:ilvl w:val="1"/>
        <w:numId w:val="1"/>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100">
    <w:name w:val="一级条标题"/>
    <w:next w:val="1"/>
    <w:qFormat/>
    <w:uiPriority w:val="0"/>
    <w:pPr>
      <w:numPr>
        <w:ilvl w:val="2"/>
        <w:numId w:val="1"/>
      </w:numPr>
      <w:outlineLvl w:val="2"/>
    </w:pPr>
    <w:rPr>
      <w:rFonts w:ascii="Times New Roman" w:hAnsi="Times New Roman" w:eastAsia="黑体" w:cs="Times New Roman"/>
      <w:sz w:val="21"/>
      <w:lang w:val="en-US" w:eastAsia="zh-CN" w:bidi="ar-SA"/>
    </w:rPr>
  </w:style>
  <w:style w:type="paragraph" w:customStyle="1" w:styleId="101">
    <w:name w:val="二级条标题"/>
    <w:basedOn w:val="100"/>
    <w:next w:val="1"/>
    <w:qFormat/>
    <w:uiPriority w:val="0"/>
    <w:pPr>
      <w:numPr>
        <w:ilvl w:val="3"/>
      </w:numPr>
      <w:outlineLvl w:val="3"/>
    </w:pPr>
  </w:style>
  <w:style w:type="paragraph" w:customStyle="1" w:styleId="102">
    <w:name w:val="实施日期"/>
    <w:basedOn w:val="1"/>
    <w:qFormat/>
    <w:uiPriority w:val="0"/>
    <w:pPr>
      <w:framePr w:w="4000" w:h="473" w:hRule="exact" w:vSpace="180" w:wrap="around" w:vAnchor="margin" w:hAnchor="margin" w:xAlign="right" w:y="13511" w:anchorLock="1"/>
      <w:widowControl/>
      <w:numPr>
        <w:ilvl w:val="4"/>
        <w:numId w:val="1"/>
      </w:numPr>
      <w:jc w:val="right"/>
    </w:pPr>
    <w:rPr>
      <w:rFonts w:ascii="Times New Roman" w:hAnsi="Times New Roman" w:eastAsia="黑体" w:cs="Times New Roman"/>
      <w:kern w:val="0"/>
      <w:sz w:val="28"/>
      <w:szCs w:val="20"/>
    </w:rPr>
  </w:style>
  <w:style w:type="paragraph" w:customStyle="1" w:styleId="103">
    <w:name w:val="图表脚注"/>
    <w:next w:val="1"/>
    <w:qFormat/>
    <w:uiPriority w:val="0"/>
    <w:pPr>
      <w:numPr>
        <w:ilvl w:val="5"/>
        <w:numId w:val="1"/>
      </w:numPr>
      <w:ind w:left="300" w:leftChars="200" w:hanging="100" w:hangingChars="100"/>
      <w:jc w:val="both"/>
    </w:pPr>
    <w:rPr>
      <w:rFonts w:ascii="宋体" w:hAnsi="Times New Roman" w:eastAsia="宋体" w:cs="Times New Roman"/>
      <w:sz w:val="18"/>
      <w:lang w:val="en-US" w:eastAsia="zh-CN" w:bidi="ar-SA"/>
    </w:rPr>
  </w:style>
  <w:style w:type="paragraph" w:customStyle="1" w:styleId="104">
    <w:name w:val="正文表标题"/>
    <w:next w:val="1"/>
    <w:qFormat/>
    <w:uiPriority w:val="0"/>
    <w:pPr>
      <w:numPr>
        <w:ilvl w:val="6"/>
        <w:numId w:val="1"/>
      </w:numPr>
      <w:jc w:val="center"/>
    </w:pPr>
    <w:rPr>
      <w:rFonts w:ascii="黑体" w:hAnsi="Times New Roman" w:eastAsia="黑体" w:cs="Times New Roman"/>
      <w:sz w:val="21"/>
      <w:lang w:val="en-US" w:eastAsia="zh-CN" w:bidi="ar-SA"/>
    </w:rPr>
  </w:style>
  <w:style w:type="paragraph" w:customStyle="1" w:styleId="105">
    <w:name w:val="一级无"/>
    <w:basedOn w:val="100"/>
    <w:qFormat/>
    <w:uiPriority w:val="0"/>
    <w:pPr>
      <w:numPr>
        <w:ilvl w:val="0"/>
        <w:numId w:val="0"/>
      </w:numPr>
      <w:tabs>
        <w:tab w:val="left" w:pos="360"/>
      </w:tabs>
    </w:pPr>
    <w:rPr>
      <w:rFonts w:ascii="宋体" w:eastAsia="宋体"/>
      <w:szCs w:val="21"/>
    </w:rPr>
  </w:style>
  <w:style w:type="character" w:customStyle="1" w:styleId="106">
    <w:name w:val="Unresolved Mention"/>
    <w:basedOn w:val="4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C0C85B-024C-49A1-89CA-1A1A3B0F4157}">
  <ds:schemaRefs/>
</ds:datastoreItem>
</file>

<file path=customXml/itemProps2.xml><?xml version="1.0" encoding="utf-8"?>
<ds:datastoreItem xmlns:ds="http://schemas.openxmlformats.org/officeDocument/2006/customXml" ds:itemID="{C5D7E463-A10F-494B-AAC3-043C8AA8F383}">
  <ds:schemaRefs/>
</ds:datastoreItem>
</file>

<file path=customXml/itemProps3.xml><?xml version="1.0" encoding="utf-8"?>
<ds:datastoreItem xmlns:ds="http://schemas.openxmlformats.org/officeDocument/2006/customXml" ds:itemID="{206F2025-9CDD-498C-9826-7710FC0F546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1608</Words>
  <Characters>9169</Characters>
  <Lines>76</Lines>
  <Paragraphs>21</Paragraphs>
  <TotalTime>16</TotalTime>
  <ScaleCrop>false</ScaleCrop>
  <LinksUpToDate>false</LinksUpToDate>
  <CharactersWithSpaces>10756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2022-07-22T05:32:00Z</dcterms:created>
  <dc:creator>Meng Tang</dc:creator>
  <cp:lastModifiedBy>若谷</cp:lastModifiedBy>
  <cp:lastPrinted>2022-08-26T10:04:00Z</cp:lastPrinted>
  <dcterms:modified xsi:type="dcterms:W3CDTF">2023-12-26T02:58:43Z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1C0B0C863CDD4679BFA0E5872199CA9C</vt:lpwstr>
  </property>
</Properties>
</file>