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jc w:val="center"/>
        <w:rPr>
          <w:rFonts w:ascii="仿宋" w:hAnsi="仿宋" w:eastAsia="仿宋" w:cs="Times New Roman"/>
          <w:b/>
          <w:color w:val="000000"/>
          <w:w w:val="80"/>
          <w:sz w:val="72"/>
          <w:szCs w:val="72"/>
          <w:highlight w:val="yellow"/>
        </w:rPr>
      </w:pPr>
      <w:bookmarkStart w:id="0" w:name="_Hlk24613880"/>
    </w:p>
    <w:p>
      <w:pPr>
        <w:spacing w:line="276" w:lineRule="auto"/>
        <w:jc w:val="center"/>
        <w:rPr>
          <w:rFonts w:ascii="仿宋" w:hAnsi="仿宋" w:eastAsia="仿宋" w:cs="Times New Roman"/>
          <w:b/>
          <w:color w:val="000000"/>
          <w:w w:val="80"/>
          <w:sz w:val="72"/>
          <w:szCs w:val="72"/>
          <w:highlight w:val="yellow"/>
        </w:rPr>
      </w:pPr>
    </w:p>
    <w:p>
      <w:pPr>
        <w:spacing w:line="276" w:lineRule="auto"/>
        <w:jc w:val="center"/>
        <w:rPr>
          <w:rFonts w:ascii="仿宋" w:hAnsi="仿宋" w:eastAsia="仿宋" w:cs="Times New Roman"/>
          <w:b/>
          <w:color w:val="000000"/>
          <w:w w:val="80"/>
          <w:sz w:val="64"/>
          <w:szCs w:val="64"/>
          <w:highlight w:val="none"/>
        </w:rPr>
      </w:pPr>
      <w:r>
        <w:rPr>
          <w:rFonts w:hint="eastAsia" w:ascii="仿宋" w:hAnsi="仿宋" w:eastAsia="仿宋" w:cs="Times New Roman"/>
          <w:b/>
          <w:color w:val="000000"/>
          <w:w w:val="80"/>
          <w:sz w:val="64"/>
          <w:szCs w:val="64"/>
          <w:highlight w:val="none"/>
        </w:rPr>
        <w:t>金华凯力特自动化科技有限公司</w:t>
      </w:r>
    </w:p>
    <w:p>
      <w:pPr>
        <w:spacing w:line="276" w:lineRule="auto"/>
        <w:jc w:val="center"/>
        <w:rPr>
          <w:rFonts w:ascii="宋体" w:hAnsi="宋体" w:eastAsia="宋体" w:cs="宋体"/>
          <w:b/>
          <w:sz w:val="52"/>
          <w:szCs w:val="52"/>
          <w:highlight w:val="none"/>
        </w:rPr>
      </w:pPr>
      <w:r>
        <w:rPr>
          <w:rFonts w:hint="eastAsia" w:ascii="宋体" w:hAnsi="宋体" w:eastAsia="宋体" w:cs="宋体"/>
          <w:b/>
          <w:sz w:val="52"/>
          <w:szCs w:val="52"/>
          <w:highlight w:val="none"/>
        </w:rPr>
        <w:t xml:space="preserve"> </w:t>
      </w:r>
    </w:p>
    <w:p>
      <w:pPr>
        <w:spacing w:line="276" w:lineRule="auto"/>
        <w:jc w:val="center"/>
        <w:rPr>
          <w:rFonts w:cs="宋体" w:asciiTheme="majorEastAsia" w:hAnsiTheme="majorEastAsia" w:eastAsiaTheme="majorEastAsia"/>
          <w:b/>
          <w:sz w:val="52"/>
          <w:szCs w:val="52"/>
          <w:highlight w:val="none"/>
        </w:rPr>
      </w:pPr>
      <w:r>
        <w:rPr>
          <w:rFonts w:hint="eastAsia" w:cs="宋体" w:asciiTheme="majorEastAsia" w:hAnsiTheme="majorEastAsia" w:eastAsiaTheme="majorEastAsia"/>
          <w:b/>
          <w:sz w:val="52"/>
          <w:szCs w:val="52"/>
          <w:highlight w:val="none"/>
        </w:rPr>
        <w:t>社</w:t>
      </w:r>
    </w:p>
    <w:p>
      <w:pPr>
        <w:spacing w:line="276" w:lineRule="auto"/>
        <w:jc w:val="center"/>
        <w:rPr>
          <w:rFonts w:cs="宋体" w:asciiTheme="majorEastAsia" w:hAnsiTheme="majorEastAsia" w:eastAsiaTheme="majorEastAsia"/>
          <w:b/>
          <w:sz w:val="52"/>
          <w:szCs w:val="52"/>
          <w:highlight w:val="none"/>
        </w:rPr>
      </w:pPr>
      <w:r>
        <w:rPr>
          <w:rFonts w:hint="eastAsia" w:cs="宋体" w:asciiTheme="majorEastAsia" w:hAnsiTheme="majorEastAsia" w:eastAsiaTheme="majorEastAsia"/>
          <w:b/>
          <w:sz w:val="52"/>
          <w:szCs w:val="52"/>
          <w:highlight w:val="none"/>
        </w:rPr>
        <w:t>会</w:t>
      </w:r>
    </w:p>
    <w:p>
      <w:pPr>
        <w:spacing w:line="276" w:lineRule="auto"/>
        <w:jc w:val="center"/>
        <w:rPr>
          <w:rFonts w:cs="宋体" w:asciiTheme="majorEastAsia" w:hAnsiTheme="majorEastAsia" w:eastAsiaTheme="majorEastAsia"/>
          <w:b/>
          <w:sz w:val="52"/>
          <w:szCs w:val="52"/>
          <w:highlight w:val="none"/>
        </w:rPr>
      </w:pPr>
      <w:r>
        <w:rPr>
          <w:rFonts w:hint="eastAsia" w:cs="宋体" w:asciiTheme="majorEastAsia" w:hAnsiTheme="majorEastAsia" w:eastAsiaTheme="majorEastAsia"/>
          <w:b/>
          <w:sz w:val="52"/>
          <w:szCs w:val="52"/>
          <w:highlight w:val="none"/>
        </w:rPr>
        <w:t>责</w:t>
      </w:r>
    </w:p>
    <w:p>
      <w:pPr>
        <w:spacing w:line="276" w:lineRule="auto"/>
        <w:jc w:val="center"/>
        <w:rPr>
          <w:rFonts w:cs="宋体" w:asciiTheme="majorEastAsia" w:hAnsiTheme="majorEastAsia" w:eastAsiaTheme="majorEastAsia"/>
          <w:b/>
          <w:sz w:val="52"/>
          <w:szCs w:val="52"/>
          <w:highlight w:val="none"/>
        </w:rPr>
      </w:pPr>
      <w:r>
        <w:rPr>
          <w:rFonts w:hint="eastAsia" w:cs="宋体" w:asciiTheme="majorEastAsia" w:hAnsiTheme="majorEastAsia" w:eastAsiaTheme="majorEastAsia"/>
          <w:b/>
          <w:sz w:val="52"/>
          <w:szCs w:val="52"/>
          <w:highlight w:val="none"/>
        </w:rPr>
        <w:t>任</w:t>
      </w:r>
    </w:p>
    <w:p>
      <w:pPr>
        <w:spacing w:line="276" w:lineRule="auto"/>
        <w:jc w:val="center"/>
        <w:rPr>
          <w:rFonts w:cs="宋体" w:asciiTheme="majorEastAsia" w:hAnsiTheme="majorEastAsia" w:eastAsiaTheme="majorEastAsia"/>
          <w:b/>
          <w:sz w:val="52"/>
          <w:szCs w:val="52"/>
          <w:highlight w:val="none"/>
        </w:rPr>
      </w:pPr>
      <w:r>
        <w:rPr>
          <w:rFonts w:hint="eastAsia" w:cs="宋体" w:asciiTheme="majorEastAsia" w:hAnsiTheme="majorEastAsia" w:eastAsiaTheme="majorEastAsia"/>
          <w:b/>
          <w:sz w:val="52"/>
          <w:szCs w:val="52"/>
          <w:highlight w:val="none"/>
        </w:rPr>
        <w:t>报</w:t>
      </w:r>
    </w:p>
    <w:p>
      <w:pPr>
        <w:spacing w:line="276" w:lineRule="auto"/>
        <w:jc w:val="center"/>
        <w:rPr>
          <w:rFonts w:cs="宋体" w:asciiTheme="majorEastAsia" w:hAnsiTheme="majorEastAsia" w:eastAsiaTheme="majorEastAsia"/>
          <w:b/>
          <w:sz w:val="52"/>
          <w:szCs w:val="52"/>
          <w:highlight w:val="none"/>
        </w:rPr>
      </w:pPr>
      <w:r>
        <w:rPr>
          <w:rFonts w:hint="eastAsia" w:cs="宋体" w:asciiTheme="majorEastAsia" w:hAnsiTheme="majorEastAsia" w:eastAsiaTheme="majorEastAsia"/>
          <w:b/>
          <w:sz w:val="52"/>
          <w:szCs w:val="52"/>
          <w:highlight w:val="none"/>
        </w:rPr>
        <w:t>告</w:t>
      </w:r>
    </w:p>
    <w:p>
      <w:pPr>
        <w:spacing w:line="276" w:lineRule="auto"/>
        <w:ind w:firstLine="3900" w:firstLineChars="750"/>
        <w:rPr>
          <w:rFonts w:ascii="宋体" w:hAnsi="宋体" w:eastAsia="宋体" w:cs="宋体"/>
          <w:sz w:val="52"/>
          <w:szCs w:val="52"/>
          <w:highlight w:val="none"/>
        </w:rPr>
      </w:pPr>
    </w:p>
    <w:p>
      <w:pPr>
        <w:spacing w:line="276" w:lineRule="auto"/>
        <w:ind w:firstLine="3900" w:firstLineChars="750"/>
        <w:rPr>
          <w:rFonts w:ascii="宋体" w:hAnsi="宋体" w:eastAsia="宋体" w:cs="宋体"/>
          <w:sz w:val="52"/>
          <w:szCs w:val="52"/>
          <w:highlight w:val="none"/>
        </w:rPr>
      </w:pPr>
    </w:p>
    <w:p>
      <w:pPr>
        <w:spacing w:before="40" w:after="40" w:line="276" w:lineRule="auto"/>
        <w:jc w:val="center"/>
        <w:rPr>
          <w:rFonts w:ascii="宋体" w:hAnsi="宋体" w:eastAsia="宋体" w:cs="宋体"/>
          <w:sz w:val="36"/>
          <w:szCs w:val="36"/>
          <w:highlight w:val="none"/>
        </w:rPr>
      </w:pPr>
      <w:r>
        <w:rPr>
          <w:rFonts w:hint="eastAsia" w:ascii="宋体" w:hAnsi="宋体" w:eastAsia="宋体" w:cs="宋体"/>
          <w:sz w:val="36"/>
          <w:szCs w:val="36"/>
          <w:highlight w:val="none"/>
        </w:rPr>
        <w:t>报告日期：</w:t>
      </w:r>
      <w:r>
        <w:rPr>
          <w:rFonts w:ascii="宋体" w:hAnsi="宋体" w:eastAsia="宋体" w:cs="宋体"/>
          <w:sz w:val="36"/>
          <w:szCs w:val="36"/>
          <w:highlight w:val="none"/>
        </w:rPr>
        <w:t>202</w:t>
      </w:r>
      <w:r>
        <w:rPr>
          <w:rFonts w:hint="eastAsia" w:ascii="宋体" w:hAnsi="宋体" w:eastAsia="宋体" w:cs="宋体"/>
          <w:sz w:val="36"/>
          <w:szCs w:val="36"/>
          <w:highlight w:val="none"/>
          <w:lang w:val="en-US" w:eastAsia="zh-CN"/>
        </w:rPr>
        <w:t>3</w:t>
      </w:r>
      <w:r>
        <w:rPr>
          <w:rFonts w:hint="eastAsia" w:ascii="宋体" w:hAnsi="宋体" w:eastAsia="宋体" w:cs="宋体"/>
          <w:sz w:val="36"/>
          <w:szCs w:val="36"/>
          <w:highlight w:val="none"/>
        </w:rPr>
        <w:t>年</w:t>
      </w:r>
      <w:r>
        <w:rPr>
          <w:rFonts w:hint="eastAsia" w:ascii="宋体" w:hAnsi="宋体" w:eastAsia="宋体" w:cs="宋体"/>
          <w:sz w:val="36"/>
          <w:szCs w:val="36"/>
          <w:highlight w:val="none"/>
          <w:lang w:val="en-US" w:eastAsia="zh-CN"/>
        </w:rPr>
        <w:t>11</w:t>
      </w:r>
      <w:r>
        <w:rPr>
          <w:rFonts w:hint="eastAsia" w:ascii="宋体" w:hAnsi="宋体" w:eastAsia="宋体" w:cs="宋体"/>
          <w:sz w:val="36"/>
          <w:szCs w:val="36"/>
          <w:highlight w:val="none"/>
        </w:rPr>
        <w:t>月</w:t>
      </w:r>
    </w:p>
    <w:bookmarkEnd w:id="0"/>
    <w:p>
      <w:pPr>
        <w:pStyle w:val="91"/>
        <w:ind w:firstLine="640"/>
      </w:pPr>
      <w:bookmarkStart w:id="1" w:name="_Hlk24613918"/>
      <w:r>
        <w:rPr>
          <w:rFonts w:hint="eastAsia"/>
        </w:rPr>
        <w:t>关于本报告</w:t>
      </w:r>
    </w:p>
    <w:p>
      <w:pPr>
        <w:pStyle w:val="90"/>
      </w:pPr>
      <w:bookmarkStart w:id="2" w:name="_Toc493596484"/>
      <w:r>
        <w:rPr>
          <w:rFonts w:hint="eastAsia"/>
        </w:rPr>
        <w:t xml:space="preserve">1 </w:t>
      </w:r>
      <w:bookmarkEnd w:id="2"/>
      <w:r>
        <w:rPr>
          <w:rFonts w:hint="eastAsia"/>
        </w:rPr>
        <w:t>报告范围</w:t>
      </w:r>
    </w:p>
    <w:p>
      <w:pPr>
        <w:ind w:firstLine="420"/>
        <w:rPr>
          <w:highlight w:val="none"/>
        </w:rPr>
      </w:pPr>
      <w:r>
        <w:rPr>
          <w:rFonts w:hint="eastAsia"/>
        </w:rPr>
        <w:t>本报告以</w:t>
      </w:r>
      <w:r>
        <w:rPr>
          <w:rFonts w:hint="eastAsia"/>
          <w:highlight w:val="none"/>
        </w:rPr>
        <w:t>金华凯力特自动化科技有限公司为主体，披露了20</w:t>
      </w:r>
      <w:r>
        <w:rPr>
          <w:highlight w:val="none"/>
        </w:rPr>
        <w:t>2</w:t>
      </w:r>
      <w:r>
        <w:rPr>
          <w:rFonts w:hint="eastAsia"/>
          <w:highlight w:val="none"/>
          <w:lang w:val="en-US" w:eastAsia="zh-CN"/>
        </w:rPr>
        <w:t>2</w:t>
      </w:r>
      <w:r>
        <w:rPr>
          <w:rFonts w:hint="eastAsia"/>
          <w:highlight w:val="none"/>
        </w:rPr>
        <w:t>年企业履行政治、经济、社会和生态责任方面的内容。</w:t>
      </w:r>
    </w:p>
    <w:p>
      <w:pPr>
        <w:pStyle w:val="90"/>
        <w:rPr>
          <w:highlight w:val="none"/>
        </w:rPr>
      </w:pPr>
      <w:r>
        <w:rPr>
          <w:rFonts w:hint="eastAsia"/>
          <w:highlight w:val="none"/>
        </w:rPr>
        <w:t>2 称谓说明</w:t>
      </w:r>
    </w:p>
    <w:p>
      <w:pPr>
        <w:ind w:firstLine="420"/>
        <w:rPr>
          <w:highlight w:val="none"/>
        </w:rPr>
      </w:pPr>
      <w:r>
        <w:rPr>
          <w:rFonts w:hint="eastAsia"/>
          <w:highlight w:val="none"/>
        </w:rPr>
        <w:t>为表述方便，报告把“金华凯力特自动化科技有限公司”简称为“</w:t>
      </w:r>
      <w:r>
        <w:rPr>
          <w:rFonts w:hint="eastAsia"/>
          <w:highlight w:val="none"/>
          <w:lang w:val="en-US" w:eastAsia="zh-CN"/>
        </w:rPr>
        <w:t>凯力特</w:t>
      </w:r>
      <w:r>
        <w:rPr>
          <w:rFonts w:hint="eastAsia"/>
          <w:highlight w:val="none"/>
        </w:rPr>
        <w:t>”、“公司”。</w:t>
      </w:r>
    </w:p>
    <w:p>
      <w:pPr>
        <w:pStyle w:val="90"/>
        <w:rPr>
          <w:highlight w:val="none"/>
        </w:rPr>
      </w:pPr>
      <w:bookmarkStart w:id="3" w:name="_Toc493596487"/>
      <w:r>
        <w:rPr>
          <w:rFonts w:hint="eastAsia"/>
          <w:highlight w:val="none"/>
        </w:rPr>
        <w:t>3 报告时间</w:t>
      </w:r>
      <w:bookmarkEnd w:id="3"/>
      <w:r>
        <w:rPr>
          <w:rFonts w:hint="eastAsia"/>
          <w:highlight w:val="none"/>
        </w:rPr>
        <w:t>和频次</w:t>
      </w:r>
    </w:p>
    <w:p>
      <w:pPr>
        <w:ind w:firstLine="420"/>
        <w:rPr>
          <w:rFonts w:ascii="宋体" w:hAnsi="宋体" w:eastAsia="宋体"/>
          <w:highlight w:val="none"/>
        </w:rPr>
      </w:pPr>
      <w:r>
        <w:rPr>
          <w:rFonts w:hint="eastAsia" w:ascii="宋体" w:hAnsi="宋体" w:eastAsia="宋体"/>
          <w:highlight w:val="none"/>
        </w:rPr>
        <w:t>202</w:t>
      </w:r>
      <w:r>
        <w:rPr>
          <w:rFonts w:hint="eastAsia" w:ascii="宋体" w:hAnsi="宋体" w:eastAsia="宋体"/>
          <w:highlight w:val="none"/>
          <w:lang w:val="en-US" w:eastAsia="zh-CN"/>
        </w:rPr>
        <w:t>2</w:t>
      </w:r>
      <w:r>
        <w:rPr>
          <w:rFonts w:hint="eastAsia" w:ascii="宋体" w:hAnsi="宋体" w:eastAsia="宋体"/>
          <w:highlight w:val="none"/>
        </w:rPr>
        <w:t>年01月1日至202</w:t>
      </w:r>
      <w:r>
        <w:rPr>
          <w:rFonts w:hint="eastAsia" w:ascii="宋体" w:hAnsi="宋体" w:eastAsia="宋体"/>
          <w:highlight w:val="none"/>
          <w:lang w:val="en-US" w:eastAsia="zh-CN"/>
        </w:rPr>
        <w:t>2</w:t>
      </w:r>
      <w:r>
        <w:rPr>
          <w:rFonts w:hint="eastAsia" w:ascii="宋体" w:hAnsi="宋体" w:eastAsia="宋体"/>
          <w:highlight w:val="none"/>
        </w:rPr>
        <w:t>年12月31日，部分数据及内容超出上述范围。</w:t>
      </w:r>
    </w:p>
    <w:p>
      <w:pPr>
        <w:ind w:firstLine="420"/>
        <w:rPr>
          <w:rFonts w:ascii="宋体" w:hAnsi="宋体" w:eastAsia="宋体"/>
          <w:highlight w:val="none"/>
        </w:rPr>
      </w:pPr>
      <w:r>
        <w:rPr>
          <w:rFonts w:hint="eastAsia" w:ascii="宋体" w:hAnsi="宋体" w:eastAsia="宋体"/>
          <w:highlight w:val="none"/>
        </w:rPr>
        <w:t>本报告为年度报告。</w:t>
      </w:r>
    </w:p>
    <w:p>
      <w:pPr>
        <w:pStyle w:val="90"/>
        <w:rPr>
          <w:highlight w:val="none"/>
        </w:rPr>
      </w:pPr>
      <w:bookmarkStart w:id="4" w:name="_Toc493596490"/>
      <w:r>
        <w:rPr>
          <w:rFonts w:hint="eastAsia"/>
          <w:highlight w:val="none"/>
        </w:rPr>
        <w:t>4 报告</w:t>
      </w:r>
      <w:bookmarkEnd w:id="4"/>
      <w:r>
        <w:rPr>
          <w:rFonts w:hint="eastAsia"/>
          <w:highlight w:val="none"/>
        </w:rPr>
        <w:t>发布形式</w:t>
      </w:r>
    </w:p>
    <w:p>
      <w:pPr>
        <w:ind w:firstLine="420"/>
        <w:rPr>
          <w:rFonts w:ascii="宋体" w:hAnsi="宋体" w:eastAsia="宋体"/>
          <w:highlight w:val="none"/>
        </w:rPr>
      </w:pPr>
      <w:r>
        <w:rPr>
          <w:rFonts w:hint="eastAsia" w:ascii="宋体" w:hAnsi="宋体" w:eastAsia="宋体"/>
          <w:highlight w:val="none"/>
        </w:rPr>
        <w:t>本报告以电子文档形式发布，其中电子文档可在金华凯力特自动化科技有限公司网站https://www.calet.com.cn下载阅读。</w:t>
      </w:r>
    </w:p>
    <w:p>
      <w:pPr>
        <w:ind w:firstLine="420"/>
      </w:pPr>
    </w:p>
    <w:bookmarkEnd w:id="1"/>
    <w:p>
      <w:pPr>
        <w:pStyle w:val="51"/>
        <w:numPr>
          <w:ilvl w:val="0"/>
          <w:numId w:val="1"/>
        </w:numPr>
        <w:spacing w:before="156" w:beforeLines="50" w:after="156" w:afterLines="50" w:line="360" w:lineRule="auto"/>
        <w:ind w:firstLineChars="0"/>
        <w:outlineLvl w:val="0"/>
        <w:rPr>
          <w:rFonts w:asciiTheme="majorEastAsia" w:hAnsiTheme="majorEastAsia" w:eastAsiaTheme="majorEastAsia"/>
          <w:b/>
          <w:color w:val="000000" w:themeColor="text1"/>
          <w:sz w:val="28"/>
          <w:szCs w:val="24"/>
          <w14:textFill>
            <w14:solidFill>
              <w14:schemeClr w14:val="tx1"/>
            </w14:solidFill>
          </w14:textFill>
        </w:rPr>
        <w:sectPr>
          <w:headerReference r:id="rId3" w:type="default"/>
          <w:pgSz w:w="11906" w:h="16838"/>
          <w:pgMar w:top="1440" w:right="1800" w:bottom="1440" w:left="1800" w:header="851" w:footer="992" w:gutter="0"/>
          <w:cols w:space="425" w:num="1"/>
          <w:docGrid w:type="lines" w:linePitch="312" w:charSpace="0"/>
        </w:sectPr>
      </w:pPr>
      <w:bookmarkStart w:id="5" w:name="_Toc451610891"/>
      <w:bookmarkStart w:id="6" w:name="_Toc451610984"/>
    </w:p>
    <w:p>
      <w:pPr>
        <w:pStyle w:val="51"/>
        <w:numPr>
          <w:ilvl w:val="0"/>
          <w:numId w:val="1"/>
        </w:numPr>
        <w:spacing w:before="156" w:beforeLines="50" w:after="156" w:afterLines="50" w:line="360" w:lineRule="auto"/>
        <w:ind w:firstLineChars="0"/>
        <w:outlineLvl w:val="0"/>
        <w:rPr>
          <w:rFonts w:asciiTheme="majorEastAsia" w:hAnsiTheme="majorEastAsia" w:eastAsiaTheme="majorEastAsia"/>
          <w:b/>
          <w:color w:val="000000" w:themeColor="text1"/>
          <w:sz w:val="28"/>
          <w:szCs w:val="24"/>
          <w14:textFill>
            <w14:solidFill>
              <w14:schemeClr w14:val="tx1"/>
            </w14:solidFill>
          </w14:textFill>
        </w:rPr>
      </w:pPr>
      <w:r>
        <w:rPr>
          <w:rFonts w:hint="eastAsia" w:asciiTheme="majorEastAsia" w:hAnsiTheme="majorEastAsia" w:eastAsiaTheme="majorEastAsia"/>
          <w:b/>
          <w:color w:val="000000" w:themeColor="text1"/>
          <w:sz w:val="28"/>
          <w:szCs w:val="24"/>
          <w:highlight w:val="none"/>
          <w14:textFill>
            <w14:solidFill>
              <w14:schemeClr w14:val="tx1"/>
            </w14:solidFill>
          </w14:textFill>
        </w:rPr>
        <w:t>金华凯力特自动化科技有限公司</w:t>
      </w:r>
      <w:r>
        <w:rPr>
          <w:rFonts w:asciiTheme="majorEastAsia" w:hAnsiTheme="majorEastAsia" w:eastAsiaTheme="majorEastAsia"/>
          <w:b/>
          <w:color w:val="000000" w:themeColor="text1"/>
          <w:sz w:val="28"/>
          <w:szCs w:val="24"/>
          <w14:textFill>
            <w14:solidFill>
              <w14:schemeClr w14:val="tx1"/>
            </w14:solidFill>
          </w14:textFill>
        </w:rPr>
        <w:t>简介</w:t>
      </w:r>
      <w:r>
        <w:rPr>
          <w:rFonts w:hint="eastAsia" w:asciiTheme="majorEastAsia" w:hAnsiTheme="majorEastAsia" w:eastAsiaTheme="majorEastAsia"/>
          <w:b/>
          <w:color w:val="000000" w:themeColor="text1"/>
          <w:sz w:val="28"/>
          <w:szCs w:val="24"/>
          <w14:textFill>
            <w14:solidFill>
              <w14:schemeClr w14:val="tx1"/>
            </w14:solidFill>
          </w14:textFill>
        </w:rPr>
        <w:t>和企业文化</w:t>
      </w:r>
    </w:p>
    <w:p>
      <w:pPr>
        <w:pStyle w:val="51"/>
        <w:spacing w:before="156" w:beforeLines="50" w:after="156" w:afterLines="50" w:line="360" w:lineRule="auto"/>
        <w:ind w:firstLine="0" w:firstLineChars="0"/>
        <w:outlineLvl w:val="0"/>
        <w:rPr>
          <w:rFonts w:asciiTheme="majorEastAsia" w:hAnsiTheme="majorEastAsia" w:eastAsiaTheme="majorEastAsia"/>
          <w:b/>
          <w:color w:val="000000" w:themeColor="text1"/>
          <w:sz w:val="28"/>
          <w:szCs w:val="24"/>
          <w14:textFill>
            <w14:solidFill>
              <w14:schemeClr w14:val="tx1"/>
            </w14:solidFill>
          </w14:textFill>
        </w:rPr>
      </w:pPr>
      <w:r>
        <w:rPr>
          <w:rFonts w:hint="eastAsia" w:asciiTheme="majorEastAsia" w:hAnsiTheme="majorEastAsia" w:eastAsiaTheme="majorEastAsia"/>
          <w:b/>
          <w:color w:val="000000" w:themeColor="text1"/>
          <w:sz w:val="28"/>
          <w:szCs w:val="24"/>
          <w14:textFill>
            <w14:solidFill>
              <w14:schemeClr w14:val="tx1"/>
            </w14:solidFill>
          </w14:textFill>
        </w:rPr>
        <w:t>1.公司简介</w:t>
      </w:r>
    </w:p>
    <w:p>
      <w:pPr>
        <w:pStyle w:val="19"/>
        <w:spacing w:line="360" w:lineRule="auto"/>
        <w:ind w:firstLine="439" w:firstLineChars="183"/>
        <w:jc w:val="left"/>
        <w:rPr>
          <w:rFonts w:hint="eastAsia" w:ascii="宋体" w:hAnsi="宋体"/>
          <w:szCs w:val="24"/>
          <w:highlight w:val="none"/>
        </w:rPr>
      </w:pPr>
      <w:bookmarkStart w:id="7" w:name="_Hlk112429603"/>
      <w:bookmarkStart w:id="8" w:name="_Hlk112430267"/>
      <w:r>
        <w:rPr>
          <w:rFonts w:hint="eastAsia" w:ascii="宋体" w:hAnsi="宋体"/>
          <w:szCs w:val="24"/>
          <w:highlight w:val="none"/>
        </w:rPr>
        <w:t>金华凯力特自动化科技有限公司（以下简称“凯力特”或“公司”）创建于2004年3月，位于浙江省金华市国家级经济技术开发区内，注册资本1039万元，资产总额达9245万元，</w:t>
      </w:r>
      <w:r>
        <w:rPr>
          <w:rFonts w:hint="eastAsia" w:ascii="宋体" w:hAnsi="宋体"/>
          <w:b/>
          <w:bCs/>
          <w:szCs w:val="24"/>
          <w:highlight w:val="none"/>
        </w:rPr>
        <w:t>是一家致力于智能机械手设计、生产和销售，集光、机、电和信息一体化的科技型企业，致力于为客户提供最佳的自动化整体解决方案和最优质的服务。</w:t>
      </w:r>
      <w:r>
        <w:rPr>
          <w:rFonts w:hint="eastAsia" w:ascii="宋体" w:hAnsi="宋体"/>
          <w:szCs w:val="24"/>
          <w:highlight w:val="none"/>
        </w:rPr>
        <w:t>2021年度，公司实现</w:t>
      </w:r>
      <w:r>
        <w:rPr>
          <w:rFonts w:hint="eastAsia" w:ascii="宋体" w:hAnsi="宋体"/>
          <w:b/>
          <w:bCs/>
          <w:szCs w:val="24"/>
          <w:highlight w:val="none"/>
        </w:rPr>
        <w:t>销售收入5279万元，同比增长32%，</w:t>
      </w:r>
      <w:r>
        <w:rPr>
          <w:rFonts w:hint="eastAsia" w:ascii="宋体" w:hAnsi="宋体"/>
          <w:szCs w:val="24"/>
          <w:highlight w:val="none"/>
        </w:rPr>
        <w:t>显示出了强劲的增长性；同时，公司</w:t>
      </w:r>
      <w:r>
        <w:rPr>
          <w:rFonts w:hint="eastAsia" w:ascii="宋体" w:hAnsi="宋体"/>
          <w:b/>
          <w:bCs/>
          <w:szCs w:val="24"/>
          <w:highlight w:val="none"/>
        </w:rPr>
        <w:t>近3年共上缴纳税756万元，</w:t>
      </w:r>
      <w:r>
        <w:rPr>
          <w:rFonts w:hint="eastAsia" w:ascii="宋体" w:hAnsi="宋体"/>
          <w:szCs w:val="24"/>
          <w:highlight w:val="none"/>
        </w:rPr>
        <w:t>体现了公司的社会担当。</w:t>
      </w:r>
    </w:p>
    <w:p>
      <w:pPr>
        <w:pStyle w:val="19"/>
        <w:spacing w:line="360" w:lineRule="auto"/>
        <w:ind w:firstLine="439" w:firstLineChars="183"/>
        <w:jc w:val="left"/>
        <w:rPr>
          <w:rFonts w:hint="eastAsia" w:ascii="宋体" w:hAnsi="宋体"/>
          <w:szCs w:val="24"/>
          <w:highlight w:val="none"/>
        </w:rPr>
      </w:pPr>
      <w:r>
        <w:rPr>
          <w:rFonts w:hint="eastAsia" w:ascii="宋体" w:hAnsi="宋体"/>
          <w:szCs w:val="24"/>
          <w:highlight w:val="none"/>
        </w:rPr>
        <w:t>公司自成立以来，本着“科技、品质、服务、共赢”的企业经营理念，以市场为导向，以用户为中心，立足于高新技术，打造一流品牌，服务于用户，服务于市场，服务于社会。产品生产</w:t>
      </w:r>
      <w:r>
        <w:rPr>
          <w:rFonts w:hint="eastAsia" w:ascii="宋体" w:hAnsi="宋体"/>
          <w:b/>
          <w:bCs/>
          <w:szCs w:val="24"/>
          <w:highlight w:val="none"/>
        </w:rPr>
        <w:t>严格执行ISO9001质量管理体系标准，</w:t>
      </w:r>
      <w:r>
        <w:rPr>
          <w:rFonts w:hint="eastAsia" w:ascii="宋体" w:hAnsi="宋体"/>
          <w:szCs w:val="24"/>
          <w:highlight w:val="none"/>
        </w:rPr>
        <w:t>贯彻“品质不是检验出来的，是生产制造出来的”质量理念，实施从供应商采购、设计开发、生产加工、质量检验及服务全过程的管理，建立了一整套完善的生产管理和质量管控体系文件，严格控制产品实现的各个环节，确保了产品的优良品质。</w:t>
      </w:r>
    </w:p>
    <w:p>
      <w:pPr>
        <w:pStyle w:val="19"/>
        <w:spacing w:line="360" w:lineRule="auto"/>
        <w:ind w:firstLine="439" w:firstLineChars="183"/>
        <w:jc w:val="left"/>
        <w:rPr>
          <w:rFonts w:hint="eastAsia" w:ascii="宋体" w:hAnsi="宋体"/>
          <w:b/>
          <w:bCs/>
          <w:szCs w:val="24"/>
          <w:highlight w:val="none"/>
        </w:rPr>
      </w:pPr>
      <w:r>
        <w:rPr>
          <w:rFonts w:hint="eastAsia" w:ascii="宋体" w:hAnsi="宋体"/>
          <w:szCs w:val="24"/>
          <w:highlight w:val="none"/>
        </w:rPr>
        <w:t>目前，公司产品主要销往长三角、珠三角、渤海湾等地区，为塑料制品、电动工具、汽摩配、化妆品包材、日用品、医疗设备等领域提供配套产品与服务，</w:t>
      </w:r>
      <w:r>
        <w:rPr>
          <w:rFonts w:hint="eastAsia" w:ascii="宋体" w:hAnsi="宋体"/>
          <w:b/>
          <w:bCs/>
          <w:szCs w:val="24"/>
          <w:highlight w:val="none"/>
        </w:rPr>
        <w:t>服务客户包括公牛集团、天能集团、康德莱集团、哈尔斯等大型知名企业。</w:t>
      </w:r>
      <w:r>
        <w:rPr>
          <w:rFonts w:hint="eastAsia" w:ascii="宋体" w:hAnsi="宋体"/>
          <w:szCs w:val="24"/>
          <w:highlight w:val="none"/>
        </w:rPr>
        <w:t>近年来，公司</w:t>
      </w:r>
      <w:r>
        <w:rPr>
          <w:rFonts w:hint="eastAsia" w:ascii="宋体" w:hAnsi="宋体"/>
          <w:b/>
          <w:bCs/>
          <w:szCs w:val="24"/>
          <w:highlight w:val="none"/>
        </w:rPr>
        <w:t>注塑机机械手产品市场份额在金华地区一直处于领先地位，省内也长居前三。</w:t>
      </w:r>
    </w:p>
    <w:p>
      <w:pPr>
        <w:pStyle w:val="19"/>
        <w:spacing w:line="360" w:lineRule="auto"/>
        <w:ind w:firstLine="439" w:firstLineChars="183"/>
        <w:jc w:val="left"/>
        <w:rPr>
          <w:rFonts w:hint="eastAsia" w:ascii="宋体" w:hAnsi="宋体"/>
          <w:szCs w:val="24"/>
          <w:highlight w:val="none"/>
        </w:rPr>
      </w:pPr>
      <w:r>
        <w:rPr>
          <w:rFonts w:hint="eastAsia" w:ascii="宋体" w:hAnsi="宋体"/>
          <w:szCs w:val="24"/>
          <w:highlight w:val="none"/>
        </w:rPr>
        <w:t>公司坚持走自主创新的道路，先后被认定为</w:t>
      </w:r>
      <w:r>
        <w:rPr>
          <w:rFonts w:hint="eastAsia" w:ascii="宋体" w:hAnsi="宋体"/>
          <w:b/>
          <w:bCs/>
          <w:szCs w:val="24"/>
          <w:highlight w:val="none"/>
        </w:rPr>
        <w:t>“国家高新技术企业”“浙江省科技型企业”“浙江省科技型中小企业”</w:t>
      </w:r>
      <w:r>
        <w:rPr>
          <w:rFonts w:hint="eastAsia" w:ascii="宋体" w:hAnsi="宋体"/>
          <w:szCs w:val="24"/>
          <w:highlight w:val="none"/>
        </w:rPr>
        <w:t>及</w:t>
      </w:r>
      <w:r>
        <w:rPr>
          <w:rFonts w:hint="eastAsia" w:ascii="宋体" w:hAnsi="宋体"/>
          <w:b/>
          <w:bCs/>
          <w:szCs w:val="24"/>
          <w:highlight w:val="none"/>
        </w:rPr>
        <w:t>“金华市专利示范企业”</w:t>
      </w:r>
      <w:r>
        <w:rPr>
          <w:rFonts w:hint="eastAsia" w:ascii="宋体" w:hAnsi="宋体"/>
          <w:szCs w:val="24"/>
          <w:highlight w:val="none"/>
        </w:rPr>
        <w:t>，建有</w:t>
      </w:r>
      <w:r>
        <w:rPr>
          <w:rFonts w:hint="eastAsia" w:ascii="宋体" w:hAnsi="宋体"/>
          <w:b/>
          <w:bCs/>
          <w:szCs w:val="24"/>
          <w:highlight w:val="none"/>
        </w:rPr>
        <w:t>省级高新技术研究开发中心</w:t>
      </w:r>
      <w:r>
        <w:rPr>
          <w:rFonts w:hint="eastAsia" w:ascii="宋体" w:hAnsi="宋体"/>
          <w:szCs w:val="24"/>
          <w:highlight w:val="none"/>
        </w:rPr>
        <w:t>，产品先后被认定为</w:t>
      </w:r>
      <w:r>
        <w:rPr>
          <w:rFonts w:hint="eastAsia" w:ascii="宋体" w:hAnsi="宋体"/>
          <w:b/>
          <w:bCs/>
          <w:szCs w:val="24"/>
          <w:highlight w:val="none"/>
        </w:rPr>
        <w:t>“国家重点新产品”“浙江省名牌产品”“浙江省装备制造业重点领域首台（套）”“浙江制造精品”、浙江省“机器换人”先进适用装备推广目录产品、“金华市高新技术产品”</w:t>
      </w:r>
      <w:r>
        <w:rPr>
          <w:rFonts w:hint="eastAsia" w:ascii="宋体" w:hAnsi="宋体"/>
          <w:szCs w:val="24"/>
          <w:highlight w:val="none"/>
        </w:rPr>
        <w:t>，荣获</w:t>
      </w:r>
      <w:r>
        <w:rPr>
          <w:rFonts w:hint="eastAsia" w:ascii="宋体" w:hAnsi="宋体"/>
          <w:b/>
          <w:bCs/>
          <w:szCs w:val="24"/>
          <w:highlight w:val="none"/>
        </w:rPr>
        <w:t>“金华市科学技术奖二等奖”</w:t>
      </w:r>
      <w:r>
        <w:rPr>
          <w:rFonts w:hint="eastAsia" w:ascii="宋体" w:hAnsi="宋体"/>
          <w:szCs w:val="24"/>
          <w:highlight w:val="none"/>
        </w:rPr>
        <w:t>及</w:t>
      </w:r>
      <w:r>
        <w:rPr>
          <w:rFonts w:hint="eastAsia" w:ascii="宋体" w:hAnsi="宋体"/>
          <w:b/>
          <w:bCs/>
          <w:szCs w:val="24"/>
          <w:highlight w:val="none"/>
        </w:rPr>
        <w:t>“第二届金华市工业设计大赛产品结构设计类三等奖”</w:t>
      </w:r>
      <w:r>
        <w:rPr>
          <w:rFonts w:hint="eastAsia" w:ascii="宋体" w:hAnsi="宋体"/>
          <w:szCs w:val="24"/>
          <w:highlight w:val="none"/>
        </w:rPr>
        <w:t>等奖项。目前，公司共</w:t>
      </w:r>
      <w:r>
        <w:rPr>
          <w:rFonts w:hint="eastAsia" w:ascii="宋体" w:hAnsi="宋体"/>
          <w:b/>
          <w:bCs/>
          <w:szCs w:val="24"/>
          <w:highlight w:val="none"/>
        </w:rPr>
        <w:t>拥有51项自主知识产权，其中发明专利1件，实用新型专利35件，外观设计专利3件，软件著作权12项，另外已有5件发明专利和2件实用新型专利申请已进入实质审查阶段。</w:t>
      </w:r>
    </w:p>
    <w:p>
      <w:pPr>
        <w:pStyle w:val="19"/>
        <w:spacing w:line="360" w:lineRule="auto"/>
        <w:ind w:firstLine="439" w:firstLineChars="183"/>
        <w:jc w:val="left"/>
        <w:rPr>
          <w:rFonts w:ascii="宋体" w:hAnsi="宋体"/>
          <w:szCs w:val="24"/>
          <w:highlight w:val="yellow"/>
        </w:rPr>
      </w:pPr>
      <w:r>
        <w:rPr>
          <w:rFonts w:hint="eastAsia" w:ascii="宋体" w:hAnsi="宋体"/>
          <w:szCs w:val="24"/>
          <w:highlight w:val="none"/>
        </w:rPr>
        <w:t>公司先后获得</w:t>
      </w:r>
      <w:r>
        <w:rPr>
          <w:rFonts w:hint="eastAsia" w:ascii="宋体" w:hAnsi="宋体"/>
          <w:b/>
          <w:bCs/>
          <w:szCs w:val="24"/>
          <w:highlight w:val="none"/>
        </w:rPr>
        <w:t>“安全生产标准化三级企业”、浙江省“机器换人”工程服务公司、“浙江名牌产品”、金华市“机器换人”推荐服务商、金华市“机器换人”示范试点企业、“金华市著名商标”</w:t>
      </w:r>
      <w:r>
        <w:rPr>
          <w:rFonts w:hint="eastAsia" w:ascii="宋体" w:hAnsi="宋体"/>
          <w:szCs w:val="24"/>
          <w:highlight w:val="none"/>
        </w:rPr>
        <w:t>等荣誉。凯力特将以更优秀的产品和完善的服务与广大客户携手共进，共创辉煌！</w:t>
      </w:r>
      <w:bookmarkEnd w:id="7"/>
    </w:p>
    <w:p>
      <w:pPr>
        <w:pStyle w:val="19"/>
        <w:spacing w:line="360" w:lineRule="auto"/>
        <w:ind w:firstLine="439" w:firstLineChars="183"/>
        <w:jc w:val="left"/>
        <w:rPr>
          <w:rFonts w:ascii="宋体" w:hAnsi="宋体"/>
          <w:szCs w:val="24"/>
        </w:rPr>
      </w:pPr>
      <w:r>
        <w:rPr>
          <w:rFonts w:hint="eastAsia" w:ascii="宋体" w:hAnsi="宋体"/>
          <w:szCs w:val="24"/>
        </w:rPr>
        <w:t>全球经济一体化的趋势下，</w:t>
      </w:r>
      <w:r>
        <w:rPr>
          <w:rFonts w:hint="eastAsia" w:ascii="宋体" w:hAnsi="宋体"/>
          <w:b w:val="0"/>
          <w:bCs w:val="0"/>
          <w:szCs w:val="24"/>
          <w:highlight w:val="none"/>
          <w:lang w:val="en-US" w:eastAsia="zh-CN"/>
        </w:rPr>
        <w:t>凯力特</w:t>
      </w:r>
      <w:r>
        <w:rPr>
          <w:rFonts w:hint="eastAsia" w:ascii="宋体" w:hAnsi="宋体"/>
          <w:szCs w:val="24"/>
        </w:rPr>
        <w:t>将继续深钻专业领域，提升自身技术高度，完善产品结构，优化全球服务网络平台朝着拥有国际先进技术和文化的企业方向迈进！</w:t>
      </w:r>
      <w:bookmarkEnd w:id="8"/>
    </w:p>
    <w:p>
      <w:pPr>
        <w:spacing w:line="400" w:lineRule="exact"/>
        <w:jc w:val="left"/>
        <w:rPr>
          <w:rFonts w:ascii="宋体" w:hAnsi="宋体"/>
          <w:b/>
          <w:bCs/>
          <w:sz w:val="28"/>
          <w:szCs w:val="24"/>
        </w:rPr>
      </w:pPr>
      <w:r>
        <w:rPr>
          <w:rFonts w:hint="eastAsia" w:ascii="宋体" w:hAnsi="宋体"/>
          <w:b/>
          <w:bCs/>
          <w:sz w:val="28"/>
          <w:szCs w:val="24"/>
        </w:rPr>
        <w:t>2.企业文化</w:t>
      </w:r>
    </w:p>
    <w:p>
      <w:pPr>
        <w:spacing w:line="360" w:lineRule="auto"/>
        <w:ind w:firstLine="480" w:firstLineChars="200"/>
        <w:rPr>
          <w:rFonts w:cs="Times New Roman" w:asciiTheme="minorEastAsia" w:hAnsiTheme="minorEastAsia"/>
          <w:kern w:val="0"/>
          <w:sz w:val="24"/>
          <w:szCs w:val="24"/>
          <w:highlight w:val="none"/>
        </w:rPr>
      </w:pPr>
      <w:bookmarkStart w:id="9" w:name="_Hlk112002177"/>
      <w:bookmarkStart w:id="10" w:name="_Hlk24613985"/>
      <w:bookmarkStart w:id="11" w:name="_Hlk24922071"/>
      <w:r>
        <w:rPr>
          <w:rFonts w:hint="eastAsia" w:cs="Times New Roman" w:asciiTheme="minorEastAsia" w:hAnsiTheme="minorEastAsia"/>
          <w:kern w:val="0"/>
          <w:sz w:val="24"/>
          <w:szCs w:val="24"/>
        </w:rPr>
        <w:t>公司的使命：</w:t>
      </w:r>
      <w:bookmarkStart w:id="12" w:name="_Hlk112001009"/>
      <w:r>
        <w:rPr>
          <w:rFonts w:hint="eastAsia" w:ascii="宋体" w:hAnsi="宋体"/>
          <w:sz w:val="24"/>
          <w:szCs w:val="24"/>
          <w:highlight w:val="none"/>
        </w:rPr>
        <w:t>做最好的企业，出最好的产品。</w:t>
      </w:r>
    </w:p>
    <w:p>
      <w:pPr>
        <w:spacing w:line="360" w:lineRule="auto"/>
        <w:ind w:firstLine="480" w:firstLineChars="200"/>
        <w:rPr>
          <w:rFonts w:cs="Times New Roman" w:asciiTheme="minorEastAsia" w:hAnsiTheme="minorEastAsia"/>
          <w:kern w:val="0"/>
          <w:sz w:val="24"/>
          <w:szCs w:val="24"/>
          <w:highlight w:val="none"/>
        </w:rPr>
      </w:pPr>
      <w:r>
        <w:rPr>
          <w:rFonts w:hint="eastAsia" w:cs="Times New Roman" w:asciiTheme="minorEastAsia" w:hAnsiTheme="minorEastAsia"/>
          <w:kern w:val="0"/>
          <w:sz w:val="24"/>
          <w:szCs w:val="24"/>
          <w:highlight w:val="none"/>
        </w:rPr>
        <w:t>愿景：成为自动化行业中的佼佼者，助力浙江省中小企业实现智能制造。</w:t>
      </w:r>
    </w:p>
    <w:p>
      <w:pPr>
        <w:spacing w:line="360" w:lineRule="auto"/>
        <w:ind w:firstLine="480" w:firstLineChars="200"/>
        <w:rPr>
          <w:rFonts w:hint="eastAsia" w:cs="Times New Roman" w:asciiTheme="minorEastAsia" w:hAnsiTheme="minorEastAsia"/>
          <w:kern w:val="0"/>
          <w:sz w:val="24"/>
          <w:szCs w:val="24"/>
          <w:highlight w:val="none"/>
        </w:rPr>
      </w:pPr>
      <w:r>
        <w:rPr>
          <w:rFonts w:hint="eastAsia" w:cs="Times New Roman" w:asciiTheme="minorEastAsia" w:hAnsiTheme="minorEastAsia"/>
          <w:kern w:val="0"/>
          <w:sz w:val="24"/>
          <w:szCs w:val="24"/>
          <w:highlight w:val="none"/>
        </w:rPr>
        <w:t>核心价值观：</w:t>
      </w:r>
      <w:bookmarkEnd w:id="12"/>
      <w:r>
        <w:rPr>
          <w:rFonts w:hint="eastAsia" w:cs="Times New Roman" w:asciiTheme="minorEastAsia" w:hAnsiTheme="minorEastAsia"/>
          <w:kern w:val="0"/>
          <w:sz w:val="24"/>
          <w:szCs w:val="24"/>
          <w:highlight w:val="none"/>
        </w:rPr>
        <w:t>智慧、勤实、共赢、持续。</w:t>
      </w:r>
      <w:bookmarkEnd w:id="9"/>
    </w:p>
    <w:bookmarkEnd w:id="10"/>
    <w:bookmarkEnd w:id="11"/>
    <w:p>
      <w:pPr>
        <w:spacing w:before="156" w:beforeLines="50" w:after="156" w:afterLines="50" w:line="360" w:lineRule="auto"/>
        <w:outlineLvl w:val="0"/>
        <w:rPr>
          <w:rFonts w:cs="Times New Roman" w:asciiTheme="majorEastAsia" w:hAnsiTheme="majorEastAsia" w:eastAsiaTheme="majorEastAsia"/>
          <w:b/>
          <w:color w:val="000000" w:themeColor="text1"/>
          <w:sz w:val="28"/>
          <w:szCs w:val="24"/>
          <w14:textFill>
            <w14:solidFill>
              <w14:schemeClr w14:val="tx1"/>
            </w14:solidFill>
          </w14:textFill>
        </w:rPr>
      </w:pPr>
      <w:r>
        <w:rPr>
          <w:rFonts w:hint="eastAsia" w:cs="Times New Roman" w:asciiTheme="majorEastAsia" w:hAnsiTheme="majorEastAsia" w:eastAsiaTheme="majorEastAsia"/>
          <w:b/>
          <w:color w:val="000000" w:themeColor="text1"/>
          <w:sz w:val="28"/>
          <w:szCs w:val="24"/>
          <w14:textFill>
            <w14:solidFill>
              <w14:schemeClr w14:val="tx1"/>
            </w14:solidFill>
          </w14:textFill>
        </w:rPr>
        <w:t>二、</w:t>
      </w:r>
      <w:r>
        <w:rPr>
          <w:rFonts w:cs="Times New Roman" w:asciiTheme="majorEastAsia" w:hAnsiTheme="majorEastAsia" w:eastAsiaTheme="majorEastAsia"/>
          <w:b/>
          <w:color w:val="000000" w:themeColor="text1"/>
          <w:sz w:val="28"/>
          <w:szCs w:val="24"/>
          <w14:textFill>
            <w14:solidFill>
              <w14:schemeClr w14:val="tx1"/>
            </w14:solidFill>
          </w14:textFill>
        </w:rPr>
        <w:t>组织架构</w:t>
      </w:r>
      <w:r>
        <w:rPr>
          <w:rFonts w:hint="eastAsia" w:cs="Times New Roman" w:asciiTheme="majorEastAsia" w:hAnsiTheme="majorEastAsia" w:eastAsiaTheme="majorEastAsia"/>
          <w:b/>
          <w:color w:val="000000" w:themeColor="text1"/>
          <w:sz w:val="28"/>
          <w:szCs w:val="24"/>
          <w14:textFill>
            <w14:solidFill>
              <w14:schemeClr w14:val="tx1"/>
            </w14:solidFill>
          </w14:textFill>
        </w:rPr>
        <w:t>及</w:t>
      </w:r>
      <w:r>
        <w:rPr>
          <w:rFonts w:cs="Times New Roman" w:asciiTheme="majorEastAsia" w:hAnsiTheme="majorEastAsia" w:eastAsiaTheme="majorEastAsia"/>
          <w:b/>
          <w:color w:val="000000" w:themeColor="text1"/>
          <w:sz w:val="28"/>
          <w:szCs w:val="24"/>
          <w14:textFill>
            <w14:solidFill>
              <w14:schemeClr w14:val="tx1"/>
            </w14:solidFill>
          </w14:textFill>
        </w:rPr>
        <w:t>主要产品</w:t>
      </w:r>
    </w:p>
    <w:p>
      <w:pPr>
        <w:spacing w:before="156" w:beforeLines="50" w:after="156" w:afterLines="50" w:line="360" w:lineRule="auto"/>
        <w:outlineLvl w:val="0"/>
        <w:rPr>
          <w:rFonts w:cs="Times New Roman" w:asciiTheme="majorEastAsia" w:hAnsiTheme="majorEastAsia" w:eastAsiaTheme="majorEastAsia"/>
          <w:b/>
          <w:color w:val="000000" w:themeColor="text1"/>
          <w:sz w:val="24"/>
          <w:szCs w:val="24"/>
          <w14:textFill>
            <w14:solidFill>
              <w14:schemeClr w14:val="tx1"/>
            </w14:solidFill>
          </w14:textFill>
        </w:rPr>
      </w:pPr>
      <w:r>
        <w:rPr>
          <w:rFonts w:cs="Times New Roman" w:asciiTheme="majorEastAsia" w:hAnsiTheme="majorEastAsia" w:eastAsiaTheme="majorEastAsia"/>
          <w:b/>
          <w:color w:val="000000" w:themeColor="text1"/>
          <w:sz w:val="24"/>
          <w:szCs w:val="24"/>
          <w14:textFill>
            <w14:solidFill>
              <w14:schemeClr w14:val="tx1"/>
            </w14:solidFill>
          </w14:textFill>
        </w:rPr>
        <w:t>1</w:t>
      </w:r>
      <w:r>
        <w:rPr>
          <w:rFonts w:hint="eastAsia" w:cs="Times New Roman" w:asciiTheme="majorEastAsia" w:hAnsiTheme="majorEastAsia" w:eastAsiaTheme="majorEastAsia"/>
          <w:b/>
          <w:color w:val="000000" w:themeColor="text1"/>
          <w:sz w:val="24"/>
          <w:szCs w:val="24"/>
          <w14:textFill>
            <w14:solidFill>
              <w14:schemeClr w14:val="tx1"/>
            </w14:solidFill>
          </w14:textFill>
        </w:rPr>
        <w:t>、组织</w:t>
      </w:r>
      <w:r>
        <w:rPr>
          <w:rFonts w:cs="Times New Roman" w:asciiTheme="majorEastAsia" w:hAnsiTheme="majorEastAsia" w:eastAsiaTheme="majorEastAsia"/>
          <w:b/>
          <w:color w:val="000000" w:themeColor="text1"/>
          <w:sz w:val="24"/>
          <w:szCs w:val="24"/>
          <w14:textFill>
            <w14:solidFill>
              <w14:schemeClr w14:val="tx1"/>
            </w14:solidFill>
          </w14:textFill>
        </w:rPr>
        <w:t>架构图</w:t>
      </w:r>
    </w:p>
    <w:p>
      <w:pPr>
        <w:pStyle w:val="47"/>
        <w:ind w:firstLine="0" w:firstLineChars="0"/>
        <w:jc w:val="center"/>
        <w:rPr>
          <w:rFonts w:asciiTheme="majorEastAsia" w:hAnsiTheme="majorEastAsia" w:eastAsiaTheme="majorEastAsia"/>
          <w:b/>
          <w:color w:val="000000" w:themeColor="text1"/>
          <w:szCs w:val="24"/>
          <w:lang w:val="en-US"/>
          <w14:textFill>
            <w14:solidFill>
              <w14:schemeClr w14:val="tx1"/>
            </w14:solidFill>
          </w14:textFill>
        </w:rPr>
      </w:pPr>
      <w:r>
        <w:rPr>
          <w:rFonts w:ascii="仿宋" w:hAnsi="仿宋" w:eastAsia="仿宋"/>
          <w:b/>
          <w:lang w:eastAsia="zh-CN"/>
        </w:rPr>
        <w:drawing>
          <wp:anchor distT="0" distB="0" distL="114300" distR="114300" simplePos="0" relativeHeight="251660288" behindDoc="0" locked="0" layoutInCell="1" allowOverlap="1">
            <wp:simplePos x="0" y="0"/>
            <wp:positionH relativeFrom="column">
              <wp:posOffset>-516890</wp:posOffset>
            </wp:positionH>
            <wp:positionV relativeFrom="paragraph">
              <wp:posOffset>60960</wp:posOffset>
            </wp:positionV>
            <wp:extent cx="6363970" cy="5105400"/>
            <wp:effectExtent l="0" t="0" r="17780" b="0"/>
            <wp:wrapTopAndBottom/>
            <wp:docPr id="3" name="图片 2" descr="fbe90e38058cc16a84483f7d85f6a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fbe90e38058cc16a84483f7d85f6a53"/>
                    <pic:cNvPicPr>
                      <a:picLocks noChangeAspect="1"/>
                    </pic:cNvPicPr>
                  </pic:nvPicPr>
                  <pic:blipFill>
                    <a:blip r:embed="rId5"/>
                    <a:stretch>
                      <a:fillRect/>
                    </a:stretch>
                  </pic:blipFill>
                  <pic:spPr>
                    <a:xfrm>
                      <a:off x="0" y="0"/>
                      <a:ext cx="6363970" cy="5105400"/>
                    </a:xfrm>
                    <a:prstGeom prst="rect">
                      <a:avLst/>
                    </a:prstGeom>
                    <a:noFill/>
                    <a:ln>
                      <a:noFill/>
                    </a:ln>
                  </pic:spPr>
                </pic:pic>
              </a:graphicData>
            </a:graphic>
          </wp:anchor>
        </w:drawing>
      </w:r>
    </w:p>
    <w:p>
      <w:pPr>
        <w:pStyle w:val="47"/>
        <w:ind w:firstLine="0" w:firstLineChars="0"/>
        <w:rPr>
          <w:rFonts w:asciiTheme="majorEastAsia" w:hAnsiTheme="majorEastAsia" w:eastAsiaTheme="majorEastAsia"/>
          <w:b/>
          <w:color w:val="000000" w:themeColor="text1"/>
          <w:szCs w:val="24"/>
          <w14:textFill>
            <w14:solidFill>
              <w14:schemeClr w14:val="tx1"/>
            </w14:solidFill>
          </w14:textFill>
        </w:rPr>
      </w:pPr>
    </w:p>
    <w:p>
      <w:pPr>
        <w:spacing w:before="156" w:beforeLines="50" w:after="156" w:afterLines="50" w:line="360" w:lineRule="auto"/>
        <w:outlineLvl w:val="0"/>
        <w:rPr>
          <w:rFonts w:cs="Times New Roman" w:asciiTheme="majorEastAsia" w:hAnsiTheme="majorEastAsia" w:eastAsiaTheme="majorEastAsia"/>
          <w:b/>
          <w:color w:val="000000" w:themeColor="text1"/>
          <w:sz w:val="24"/>
          <w:szCs w:val="24"/>
          <w14:textFill>
            <w14:solidFill>
              <w14:schemeClr w14:val="tx1"/>
            </w14:solidFill>
          </w14:textFill>
        </w:rPr>
      </w:pPr>
      <w:r>
        <w:rPr>
          <w:rFonts w:hint="eastAsia" w:cs="Times New Roman" w:asciiTheme="majorEastAsia" w:hAnsiTheme="majorEastAsia" w:eastAsiaTheme="majorEastAsia"/>
          <w:b/>
          <w:color w:val="000000" w:themeColor="text1"/>
          <w:sz w:val="24"/>
          <w:szCs w:val="24"/>
          <w14:textFill>
            <w14:solidFill>
              <w14:schemeClr w14:val="tx1"/>
            </w14:solidFill>
          </w14:textFill>
        </w:rPr>
        <w:t>2、</w:t>
      </w:r>
      <w:r>
        <w:rPr>
          <w:rFonts w:cs="Times New Roman" w:asciiTheme="majorEastAsia" w:hAnsiTheme="majorEastAsia" w:eastAsiaTheme="majorEastAsia"/>
          <w:b/>
          <w:color w:val="000000" w:themeColor="text1"/>
          <w:sz w:val="24"/>
          <w:szCs w:val="24"/>
          <w14:textFill>
            <w14:solidFill>
              <w14:schemeClr w14:val="tx1"/>
            </w14:solidFill>
          </w14:textFill>
        </w:rPr>
        <w:t>主要产品</w:t>
      </w:r>
    </w:p>
    <w:p>
      <w:pPr>
        <w:spacing w:line="360" w:lineRule="auto"/>
        <w:ind w:firstLine="480" w:firstLineChars="200"/>
        <w:jc w:val="left"/>
        <w:rPr>
          <w:sz w:val="24"/>
          <w:szCs w:val="18"/>
          <w:highlight w:val="none"/>
        </w:rPr>
      </w:pPr>
      <w:bookmarkStart w:id="13" w:name="_Hlk109653173"/>
      <w:bookmarkStart w:id="14" w:name="_Hlk88658465"/>
      <w:bookmarkStart w:id="15" w:name="_Hlk24620175"/>
      <w:r>
        <w:rPr>
          <w:rFonts w:hint="eastAsia"/>
          <w:sz w:val="24"/>
          <w:szCs w:val="18"/>
          <w:highlight w:val="none"/>
        </w:rPr>
        <w:t>公司始终本着“创新不停，求精不止”的宗旨和“智慧、勤实、共赢、持续”的核心价值观，是一家致力于自动化设备的研发、制造、销售和服务，集光、机、电和信息一体化的高新技术企业。公司主要生产注塑机机械手、冲压机机械手等系列产品及周边自动化设备，为客户量身定制提供专业的、最大效益化的自动化整体解决方案，产品广泛应用于电动工具、汽车配件、化妆品包材、日用品、医疗设备等行业领域。目前，公司产品主要销往长三角、珠三角、渤海湾等地区，服务客户包括公牛集团、天能集团、康德莱集团、哈尔斯等大型知名企业。</w:t>
      </w:r>
    </w:p>
    <w:bookmarkEnd w:id="13"/>
    <w:bookmarkEnd w:id="14"/>
    <w:p>
      <w:pPr>
        <w:spacing w:line="600" w:lineRule="exact"/>
        <w:ind w:firstLine="480" w:firstLineChars="200"/>
        <w:jc w:val="left"/>
        <w:rPr>
          <w:rFonts w:cs="Times New Roman" w:asciiTheme="minorEastAsia" w:hAnsiTheme="minorEastAsia"/>
          <w:kern w:val="0"/>
          <w:sz w:val="24"/>
          <w:szCs w:val="24"/>
        </w:rPr>
      </w:pPr>
      <w:r>
        <w:rPr>
          <w:rFonts w:hint="eastAsia" w:cs="Times New Roman" w:asciiTheme="minorEastAsia" w:hAnsiTheme="minorEastAsia"/>
          <w:kern w:val="0"/>
          <w:sz w:val="24"/>
          <w:szCs w:val="24"/>
        </w:rPr>
        <w:t>主要产品图片如下：</w:t>
      </w:r>
      <w:bookmarkEnd w:id="15"/>
    </w:p>
    <w:p>
      <w:pPr>
        <w:spacing w:line="600" w:lineRule="exact"/>
        <w:jc w:val="left"/>
        <w:rPr>
          <w:rFonts w:hint="eastAsia" w:cs="Times New Roman" w:asciiTheme="minorEastAsia" w:hAnsiTheme="minorEastAsia"/>
          <w:kern w:val="0"/>
          <w:sz w:val="24"/>
          <w:szCs w:val="24"/>
        </w:rPr>
      </w:pPr>
    </w:p>
    <w:p>
      <w:pPr>
        <w:spacing w:before="156" w:beforeLines="50" w:after="156" w:afterLines="50"/>
        <w:outlineLvl w:val="0"/>
      </w:pPr>
      <w:r>
        <w:drawing>
          <wp:inline distT="0" distB="0" distL="114300" distR="114300">
            <wp:extent cx="5273040" cy="2417445"/>
            <wp:effectExtent l="0" t="0" r="3810" b="190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6"/>
                    <a:stretch>
                      <a:fillRect/>
                    </a:stretch>
                  </pic:blipFill>
                  <pic:spPr>
                    <a:xfrm>
                      <a:off x="0" y="0"/>
                      <a:ext cx="5273040" cy="2417445"/>
                    </a:xfrm>
                    <a:prstGeom prst="rect">
                      <a:avLst/>
                    </a:prstGeom>
                    <a:noFill/>
                    <a:ln>
                      <a:noFill/>
                    </a:ln>
                  </pic:spPr>
                </pic:pic>
              </a:graphicData>
            </a:graphic>
          </wp:inline>
        </w:drawing>
      </w:r>
      <w:r>
        <w:drawing>
          <wp:inline distT="0" distB="0" distL="114300" distR="114300">
            <wp:extent cx="5268595" cy="1149985"/>
            <wp:effectExtent l="0" t="0" r="8255" b="1206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7"/>
                    <a:stretch>
                      <a:fillRect/>
                    </a:stretch>
                  </pic:blipFill>
                  <pic:spPr>
                    <a:xfrm>
                      <a:off x="0" y="0"/>
                      <a:ext cx="5268595" cy="1149985"/>
                    </a:xfrm>
                    <a:prstGeom prst="rect">
                      <a:avLst/>
                    </a:prstGeom>
                    <a:noFill/>
                    <a:ln>
                      <a:noFill/>
                    </a:ln>
                  </pic:spPr>
                </pic:pic>
              </a:graphicData>
            </a:graphic>
          </wp:inline>
        </w:drawing>
      </w:r>
      <w:r>
        <w:drawing>
          <wp:inline distT="0" distB="0" distL="114300" distR="114300">
            <wp:extent cx="5267960" cy="1106170"/>
            <wp:effectExtent l="0" t="0" r="8890" b="17780"/>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8"/>
                    <a:stretch>
                      <a:fillRect/>
                    </a:stretch>
                  </pic:blipFill>
                  <pic:spPr>
                    <a:xfrm>
                      <a:off x="0" y="0"/>
                      <a:ext cx="5267960" cy="1106170"/>
                    </a:xfrm>
                    <a:prstGeom prst="rect">
                      <a:avLst/>
                    </a:prstGeom>
                    <a:noFill/>
                    <a:ln>
                      <a:noFill/>
                    </a:ln>
                  </pic:spPr>
                </pic:pic>
              </a:graphicData>
            </a:graphic>
          </wp:inline>
        </w:drawing>
      </w:r>
    </w:p>
    <w:p>
      <w:pPr>
        <w:spacing w:before="156" w:beforeLines="50" w:after="156" w:afterLines="50"/>
        <w:outlineLvl w:val="0"/>
        <w:rPr>
          <w:rFonts w:cs="Times New Roman" w:asciiTheme="majorEastAsia" w:hAnsiTheme="majorEastAsia" w:eastAsiaTheme="majorEastAsia"/>
          <w:b/>
          <w:sz w:val="28"/>
          <w:szCs w:val="24"/>
        </w:rPr>
      </w:pPr>
      <w:r>
        <w:rPr>
          <w:rFonts w:hint="eastAsia" w:cs="Times New Roman" w:asciiTheme="majorEastAsia" w:hAnsiTheme="majorEastAsia" w:eastAsiaTheme="majorEastAsia"/>
          <w:b/>
          <w:sz w:val="28"/>
          <w:szCs w:val="24"/>
        </w:rPr>
        <w:t>三、经济责任</w:t>
      </w:r>
      <w:bookmarkEnd w:id="5"/>
      <w:bookmarkEnd w:id="6"/>
    </w:p>
    <w:p>
      <w:pPr>
        <w:spacing w:before="156" w:beforeLines="50" w:after="156" w:afterLines="50"/>
        <w:outlineLvl w:val="1"/>
        <w:rPr>
          <w:rFonts w:cs="Times New Roman" w:asciiTheme="majorEastAsia" w:hAnsiTheme="majorEastAsia" w:eastAsiaTheme="majorEastAsia"/>
          <w:b/>
          <w:sz w:val="24"/>
          <w:szCs w:val="24"/>
        </w:rPr>
      </w:pPr>
      <w:bookmarkStart w:id="16" w:name="_Toc451610985"/>
      <w:bookmarkStart w:id="17" w:name="_Toc451610892"/>
      <w:r>
        <w:rPr>
          <w:rFonts w:hint="eastAsia" w:cs="Times New Roman" w:asciiTheme="majorEastAsia" w:hAnsiTheme="majorEastAsia" w:eastAsiaTheme="majorEastAsia"/>
          <w:b/>
          <w:sz w:val="24"/>
          <w:szCs w:val="24"/>
        </w:rPr>
        <w:t>（一）战略方向</w:t>
      </w:r>
      <w:bookmarkEnd w:id="16"/>
      <w:bookmarkEnd w:id="17"/>
    </w:p>
    <w:p>
      <w:pPr>
        <w:pStyle w:val="51"/>
        <w:spacing w:line="360" w:lineRule="auto"/>
        <w:ind w:left="482" w:firstLine="0" w:firstLineChars="0"/>
        <w:rPr>
          <w:rFonts w:asciiTheme="majorEastAsia" w:hAnsiTheme="majorEastAsia" w:eastAsiaTheme="majorEastAsia"/>
          <w:b/>
          <w:bCs/>
          <w:szCs w:val="24"/>
        </w:rPr>
      </w:pPr>
      <w:r>
        <w:rPr>
          <w:rFonts w:hint="eastAsia" w:asciiTheme="majorEastAsia" w:hAnsiTheme="majorEastAsia" w:eastAsiaTheme="majorEastAsia"/>
          <w:b/>
          <w:sz w:val="24"/>
          <w:szCs w:val="24"/>
        </w:rPr>
        <w:t>1）</w:t>
      </w:r>
      <w:r>
        <w:rPr>
          <w:rFonts w:asciiTheme="majorEastAsia" w:hAnsiTheme="majorEastAsia" w:eastAsiaTheme="majorEastAsia"/>
          <w:b/>
          <w:sz w:val="24"/>
          <w:szCs w:val="24"/>
        </w:rPr>
        <w:t>长、中、短期主要战略目标</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公司不断加大研发创新投入、加强研发创新力度，持续提升科技水平；</w:t>
      </w:r>
      <w:r>
        <w:rPr>
          <w:rFonts w:asciiTheme="minorEastAsia" w:hAnsiTheme="minorEastAsia"/>
          <w:sz w:val="24"/>
          <w:szCs w:val="24"/>
        </w:rPr>
        <w:t>继续</w:t>
      </w:r>
      <w:r>
        <w:rPr>
          <w:rFonts w:hint="eastAsia" w:asciiTheme="minorEastAsia" w:hAnsiTheme="minorEastAsia"/>
          <w:sz w:val="24"/>
          <w:szCs w:val="24"/>
        </w:rPr>
        <w:t>推进精益制造</w:t>
      </w:r>
      <w:r>
        <w:rPr>
          <w:rFonts w:asciiTheme="minorEastAsia" w:hAnsiTheme="minorEastAsia"/>
          <w:sz w:val="24"/>
          <w:szCs w:val="24"/>
        </w:rPr>
        <w:t>，</w:t>
      </w:r>
      <w:r>
        <w:rPr>
          <w:rFonts w:hint="eastAsia" w:asciiTheme="minorEastAsia" w:hAnsiTheme="minorEastAsia"/>
          <w:sz w:val="24"/>
          <w:szCs w:val="24"/>
        </w:rPr>
        <w:t>不断夯实提供优质产品的全面能力；建设发展公司品牌，开拓国内市场；建立生态供应链，关注上下游供应链健康；大力引进专业人才，提升公司经营各个环节的专业度；整合各方资源，</w:t>
      </w:r>
      <w:r>
        <w:rPr>
          <w:rFonts w:asciiTheme="minorEastAsia" w:hAnsiTheme="minorEastAsia"/>
          <w:sz w:val="24"/>
          <w:szCs w:val="24"/>
        </w:rPr>
        <w:t>大力</w:t>
      </w:r>
      <w:r>
        <w:rPr>
          <w:rFonts w:hint="eastAsia" w:asciiTheme="minorEastAsia" w:hAnsiTheme="minorEastAsia"/>
          <w:sz w:val="24"/>
          <w:szCs w:val="24"/>
        </w:rPr>
        <w:t>推行</w:t>
      </w:r>
      <w:r>
        <w:rPr>
          <w:rFonts w:asciiTheme="minorEastAsia" w:hAnsiTheme="minorEastAsia"/>
          <w:sz w:val="24"/>
          <w:szCs w:val="24"/>
        </w:rPr>
        <w:t>商业模式</w:t>
      </w:r>
      <w:r>
        <w:rPr>
          <w:rFonts w:hint="eastAsia" w:asciiTheme="minorEastAsia" w:hAnsiTheme="minorEastAsia"/>
          <w:sz w:val="24"/>
          <w:szCs w:val="24"/>
        </w:rPr>
        <w:t>创新</w:t>
      </w:r>
      <w:r>
        <w:rPr>
          <w:rFonts w:asciiTheme="minorEastAsia" w:hAnsiTheme="minorEastAsia"/>
          <w:sz w:val="24"/>
          <w:szCs w:val="24"/>
        </w:rPr>
        <w:t>和</w:t>
      </w:r>
      <w:r>
        <w:rPr>
          <w:rFonts w:hint="eastAsia" w:asciiTheme="minorEastAsia" w:hAnsiTheme="minorEastAsia"/>
          <w:sz w:val="24"/>
          <w:szCs w:val="24"/>
        </w:rPr>
        <w:t>管理模式创新</w:t>
      </w:r>
      <w:r>
        <w:rPr>
          <w:rFonts w:asciiTheme="minorEastAsia" w:hAnsiTheme="minorEastAsia"/>
          <w:sz w:val="24"/>
          <w:szCs w:val="24"/>
        </w:rPr>
        <w:t>，</w:t>
      </w:r>
      <w:r>
        <w:rPr>
          <w:rFonts w:hint="eastAsia" w:asciiTheme="minorEastAsia" w:hAnsiTheme="minorEastAsia"/>
          <w:sz w:val="24"/>
          <w:szCs w:val="24"/>
        </w:rPr>
        <w:t>为成为行业龙头企业而努力</w:t>
      </w:r>
      <w:r>
        <w:rPr>
          <w:rFonts w:asciiTheme="minorEastAsia" w:hAnsiTheme="minorEastAsia"/>
          <w:sz w:val="24"/>
          <w:szCs w:val="24"/>
        </w:rPr>
        <w:t>。</w:t>
      </w:r>
    </w:p>
    <w:p>
      <w:pPr>
        <w:pStyle w:val="51"/>
        <w:spacing w:line="360" w:lineRule="auto"/>
        <w:ind w:left="482" w:firstLine="0" w:firstLineChars="0"/>
        <w:rPr>
          <w:rFonts w:asciiTheme="majorEastAsia" w:hAnsiTheme="majorEastAsia" w:eastAsiaTheme="majorEastAsia"/>
          <w:b/>
          <w:sz w:val="24"/>
          <w:szCs w:val="24"/>
        </w:rPr>
      </w:pPr>
      <w:r>
        <w:rPr>
          <w:rFonts w:hint="eastAsia" w:asciiTheme="majorEastAsia" w:hAnsiTheme="majorEastAsia" w:eastAsiaTheme="majorEastAsia"/>
          <w:b/>
          <w:sz w:val="24"/>
          <w:szCs w:val="24"/>
        </w:rPr>
        <w:t>2）</w:t>
      </w:r>
      <w:r>
        <w:rPr>
          <w:rFonts w:asciiTheme="majorEastAsia" w:hAnsiTheme="majorEastAsia" w:eastAsiaTheme="majorEastAsia"/>
          <w:b/>
          <w:sz w:val="24"/>
          <w:szCs w:val="24"/>
        </w:rPr>
        <w:t>战略发展方向及目标</w:t>
      </w:r>
    </w:p>
    <w:p>
      <w:pPr>
        <w:spacing w:line="360" w:lineRule="auto"/>
        <w:ind w:firstLine="240" w:firstLineChars="100"/>
        <w:rPr>
          <w:rFonts w:asciiTheme="minorEastAsia" w:hAnsiTheme="minorEastAsia"/>
          <w:sz w:val="24"/>
          <w:szCs w:val="24"/>
        </w:rPr>
      </w:pPr>
      <w:r>
        <w:rPr>
          <w:rFonts w:hint="eastAsia" w:asciiTheme="minorEastAsia" w:hAnsiTheme="minorEastAsia"/>
          <w:sz w:val="24"/>
          <w:szCs w:val="24"/>
        </w:rPr>
        <w:t>1、大力推行全员改善，持续提升运营效率</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继续推进全员改善的广度和深度，全面减少七大浪费，激励全体员工在更广泛、更深层次的领域实施全员改善提案，保持持续改善机制的规范运作，形成持续改善的文化氛围，达到提升产品质量、改进现场管理、消除安全隐患、降低运营成本、提高劳动效率的目的，为制造出高性价比、高质量、耐用可靠的产品提供保障。</w:t>
      </w:r>
    </w:p>
    <w:p>
      <w:pPr>
        <w:spacing w:line="360" w:lineRule="auto"/>
        <w:ind w:firstLine="240" w:firstLineChars="100"/>
        <w:rPr>
          <w:rFonts w:asciiTheme="minorEastAsia" w:hAnsiTheme="minorEastAsia"/>
          <w:sz w:val="24"/>
          <w:szCs w:val="24"/>
        </w:rPr>
      </w:pPr>
      <w:r>
        <w:rPr>
          <w:rFonts w:hint="eastAsia" w:asciiTheme="minorEastAsia" w:hAnsiTheme="minorEastAsia"/>
          <w:sz w:val="24"/>
          <w:szCs w:val="24"/>
        </w:rPr>
        <w:t>2、继续加大研发投入，提升产品技术水平</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根据公司战略规划和发展阶段，继续完善公司技术创新体系，加强基础研发条件建设，建立以公司经营战略为目标，以市场需求为导向的信息沟通机制。继续加大研发投入，加强市场调研活动，研究国内外消费者需求趋势，确保研发项目按时有序推进，实现突破。</w:t>
      </w:r>
    </w:p>
    <w:p>
      <w:pPr>
        <w:spacing w:line="360" w:lineRule="auto"/>
        <w:ind w:firstLine="240" w:firstLineChars="100"/>
        <w:rPr>
          <w:rFonts w:asciiTheme="minorEastAsia" w:hAnsiTheme="minorEastAsia"/>
          <w:sz w:val="24"/>
          <w:szCs w:val="24"/>
        </w:rPr>
      </w:pPr>
      <w:r>
        <w:rPr>
          <w:rFonts w:hint="eastAsia" w:asciiTheme="minorEastAsia" w:hAnsiTheme="minorEastAsia"/>
          <w:sz w:val="24"/>
          <w:szCs w:val="24"/>
        </w:rPr>
        <w:t>3、持续引进优秀人才，加大内部人才培养力度</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在革新、提升、转变的主题下，公司始终坚持认为人才是公司持续成长的基石，始终保持开放的人才观，大力引进优秀人才，并创造有利的条件使其能够发挥最大的作用。加强价值观引导，开展批评与自我批评，鼓励员工勇于创新、积极改善，并鼓励员工自主学习、不断进步。同时加大对内部人才的培训力度，使其适应公司快速发展的步伐，发挥老员工的积极作用。</w:t>
      </w:r>
    </w:p>
    <w:p>
      <w:pPr>
        <w:spacing w:line="360" w:lineRule="auto"/>
        <w:ind w:firstLine="240" w:firstLineChars="100"/>
        <w:rPr>
          <w:rFonts w:asciiTheme="minorEastAsia" w:hAnsiTheme="minorEastAsia"/>
          <w:sz w:val="24"/>
          <w:szCs w:val="24"/>
        </w:rPr>
      </w:pPr>
      <w:r>
        <w:rPr>
          <w:rFonts w:hint="eastAsia" w:asciiTheme="minorEastAsia" w:hAnsiTheme="minorEastAsia"/>
          <w:sz w:val="24"/>
          <w:szCs w:val="24"/>
        </w:rPr>
        <w:t>4、用好中国市场，创建品牌和渠道</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随着国内经济的发展，国内对</w:t>
      </w:r>
      <w:r>
        <w:rPr>
          <w:rFonts w:hint="eastAsia" w:asciiTheme="minorEastAsia" w:hAnsiTheme="minorEastAsia"/>
          <w:sz w:val="24"/>
          <w:szCs w:val="24"/>
          <w:highlight w:val="none"/>
          <w:lang w:val="en-US" w:eastAsia="zh-CN"/>
        </w:rPr>
        <w:t>自动化</w:t>
      </w:r>
      <w:r>
        <w:rPr>
          <w:rFonts w:hint="eastAsia" w:asciiTheme="minorEastAsia" w:hAnsiTheme="minorEastAsia"/>
          <w:sz w:val="24"/>
          <w:szCs w:val="24"/>
          <w:highlight w:val="none"/>
        </w:rPr>
        <w:t>设备产品</w:t>
      </w:r>
      <w:r>
        <w:rPr>
          <w:rFonts w:hint="eastAsia" w:asciiTheme="minorEastAsia" w:hAnsiTheme="minorEastAsia"/>
          <w:sz w:val="24"/>
          <w:szCs w:val="24"/>
        </w:rPr>
        <w:t>的需求也越来越大。公司将在原有销售的基础上，精细布局在品牌、渠道和团队方面的发展计划，建立公司自己的品牌和销售渠道，加大国内市场的推进力度，努力提高品牌知名度。公司将加大调研力度，迎合中国消费群体的需求，积极研发设计适合中国市场的产品。</w:t>
      </w:r>
    </w:p>
    <w:p>
      <w:pPr>
        <w:spacing w:line="360" w:lineRule="auto"/>
        <w:ind w:firstLine="240" w:firstLineChars="100"/>
        <w:rPr>
          <w:rFonts w:asciiTheme="minorEastAsia" w:hAnsiTheme="minorEastAsia"/>
          <w:sz w:val="24"/>
          <w:szCs w:val="24"/>
        </w:rPr>
      </w:pPr>
      <w:r>
        <w:rPr>
          <w:rFonts w:hint="eastAsia" w:asciiTheme="minorEastAsia" w:hAnsiTheme="minorEastAsia"/>
          <w:sz w:val="24"/>
          <w:szCs w:val="24"/>
        </w:rPr>
        <w:t>5、增强产业链服务意识，努力达到合作共赢</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公司的上游供应商供货质量和供货速度是公司为下游客户提供优质产品和服务的基础，公司将建立相应的制度，引进相应的管理人才，帮助供应商提高管理水平和生产能力，协同供应商共同进步；公司以“成就客户”为唯一存在的理由，想客户所想，做客户所需，加大对消费者需求的研究，积极开发设计符合客户预期的产品。</w:t>
      </w:r>
    </w:p>
    <w:p>
      <w:pPr>
        <w:spacing w:line="360" w:lineRule="auto"/>
        <w:ind w:firstLine="240" w:firstLineChars="100"/>
        <w:rPr>
          <w:rFonts w:asciiTheme="minorEastAsia" w:hAnsiTheme="minorEastAsia"/>
          <w:sz w:val="24"/>
          <w:szCs w:val="24"/>
        </w:rPr>
      </w:pPr>
      <w:r>
        <w:rPr>
          <w:rFonts w:hint="eastAsia" w:asciiTheme="minorEastAsia" w:hAnsiTheme="minorEastAsia"/>
          <w:sz w:val="24"/>
          <w:szCs w:val="24"/>
        </w:rPr>
        <w:t>6、深化内控管理，加强风险控制</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深化内控体系建设，进一步强化内部审计经济监督职能，持续推进风险管理融入整个经营管理流程。强化公司管理目标，完善和优化公司管理流程，提升公司经营效果和效率。</w:t>
      </w:r>
    </w:p>
    <w:p>
      <w:pPr>
        <w:spacing w:before="156" w:beforeLines="50" w:after="156" w:afterLines="50" w:line="360" w:lineRule="auto"/>
        <w:outlineLvl w:val="1"/>
        <w:rPr>
          <w:rFonts w:asciiTheme="minorEastAsia" w:hAnsiTheme="minorEastAsia"/>
          <w:sz w:val="24"/>
          <w:szCs w:val="24"/>
        </w:rPr>
      </w:pPr>
      <w:bookmarkStart w:id="18" w:name="_Toc451610893"/>
      <w:bookmarkStart w:id="19" w:name="_Toc451610986"/>
      <w:r>
        <w:rPr>
          <w:rFonts w:hint="eastAsia" w:cs="Times New Roman" w:asciiTheme="majorEastAsia" w:hAnsiTheme="majorEastAsia" w:eastAsiaTheme="majorEastAsia"/>
          <w:b/>
          <w:sz w:val="24"/>
          <w:szCs w:val="24"/>
        </w:rPr>
        <w:t>（二）市场业绩</w:t>
      </w:r>
      <w:bookmarkEnd w:id="18"/>
      <w:bookmarkEnd w:id="19"/>
    </w:p>
    <w:p>
      <w:pPr>
        <w:tabs>
          <w:tab w:val="left" w:pos="142"/>
        </w:tabs>
        <w:spacing w:before="156" w:beforeLines="50" w:after="156" w:afterLines="50" w:line="360" w:lineRule="auto"/>
        <w:ind w:firstLine="480" w:firstLineChars="200"/>
        <w:jc w:val="left"/>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）市场地位</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公司始终本着“创新不停，求精不止”的宗旨和“智慧、勤实、共赢、持续”的核心价值观，是一家致力于智能机械手设计、生产和销售，集光、机、电和信息一体化的科技型企业，致力于为客户提供最佳的自动化整体解决方案和最优质的服务。2021年度，公司实现销售收入5279万元，同比增长32%，同时，公司近3年共上缴纳税756万元</w:t>
      </w:r>
      <w:r>
        <w:rPr>
          <w:rFonts w:hint="eastAsia" w:asciiTheme="minorEastAsia" w:hAnsiTheme="minorEastAsia"/>
          <w:sz w:val="24"/>
          <w:szCs w:val="24"/>
          <w:highlight w:val="none"/>
          <w:lang w:eastAsia="zh-CN"/>
        </w:rPr>
        <w:t>。目前，公司产品主要销往长三角、珠三角、渤海湾等地区，为塑料制品、电动工具、汽摩配、化妆品包材、日用品、医疗设备等领域提供配套产品与服务，服务客户包括公牛集团、天能集团、康德莱集团、哈尔斯等大型知名企业。近年来，公司注塑机机械手产品市场份额在金华地区一直处于领先地位，省内也长居前三。</w:t>
      </w:r>
    </w:p>
    <w:p>
      <w:pPr>
        <w:tabs>
          <w:tab w:val="left" w:pos="142"/>
        </w:tabs>
        <w:spacing w:before="156" w:beforeLines="50" w:after="156" w:afterLines="50" w:line="360" w:lineRule="auto"/>
        <w:ind w:firstLine="480" w:firstLineChars="200"/>
        <w:jc w:val="left"/>
        <w:rPr>
          <w:rFonts w:asciiTheme="minorEastAsia" w:hAnsiTheme="minorEastAsia"/>
          <w:sz w:val="24"/>
          <w:szCs w:val="24"/>
        </w:rPr>
      </w:pPr>
      <w:r>
        <w:rPr>
          <w:rFonts w:hint="eastAsia" w:asciiTheme="minorEastAsia" w:hAnsiTheme="minorEastAsia"/>
          <w:sz w:val="24"/>
          <w:szCs w:val="24"/>
        </w:rPr>
        <w:t>2</w:t>
      </w:r>
      <w:r>
        <w:rPr>
          <w:rFonts w:asciiTheme="minorEastAsia" w:hAnsiTheme="minorEastAsia"/>
          <w:sz w:val="24"/>
          <w:szCs w:val="24"/>
        </w:rPr>
        <w:t>）业务增长和新增市场</w:t>
      </w:r>
    </w:p>
    <w:p>
      <w:pPr>
        <w:spacing w:line="360" w:lineRule="auto"/>
        <w:ind w:firstLine="600" w:firstLineChars="250"/>
        <w:rPr>
          <w:rFonts w:asciiTheme="minorEastAsia" w:hAnsiTheme="minorEastAsia"/>
          <w:sz w:val="24"/>
          <w:szCs w:val="24"/>
        </w:rPr>
      </w:pPr>
      <w:r>
        <w:rPr>
          <w:rFonts w:hint="eastAsia" w:asciiTheme="minorEastAsia" w:hAnsiTheme="minorEastAsia"/>
          <w:sz w:val="24"/>
          <w:szCs w:val="24"/>
        </w:rPr>
        <w:t>公司加强市场网络建设，以“创新破难，扩大规模增实力”的理念为指导思想，立足于公司的技术优势，继续维护好原有经销商的服务工作，利用品牌优势，坚持长期业务持续发展的指导方针、扩张市场份额。</w:t>
      </w:r>
    </w:p>
    <w:p>
      <w:pPr>
        <w:spacing w:before="156" w:beforeLines="50" w:after="156" w:afterLines="50" w:line="276" w:lineRule="auto"/>
        <w:rPr>
          <w:rFonts w:ascii="宋体" w:hAnsi="宋体"/>
          <w:b/>
          <w:sz w:val="24"/>
          <w:szCs w:val="24"/>
        </w:rPr>
      </w:pPr>
      <w:r>
        <w:rPr>
          <w:rFonts w:hint="eastAsia" w:cs="Times New Roman" w:asciiTheme="majorEastAsia" w:hAnsiTheme="majorEastAsia" w:eastAsiaTheme="majorEastAsia"/>
          <w:b/>
          <w:sz w:val="24"/>
          <w:szCs w:val="24"/>
        </w:rPr>
        <w:t>四、</w:t>
      </w:r>
      <w:r>
        <w:rPr>
          <w:rFonts w:hint="eastAsia" w:ascii="宋体" w:hAnsi="宋体"/>
          <w:b/>
          <w:sz w:val="24"/>
          <w:szCs w:val="24"/>
        </w:rPr>
        <w:t>管理责任：</w:t>
      </w:r>
    </w:p>
    <w:p>
      <w:pPr>
        <w:spacing w:before="156" w:beforeLines="50" w:after="156" w:afterLines="50" w:line="276" w:lineRule="auto"/>
        <w:ind w:firstLine="426" w:firstLineChars="177"/>
        <w:rPr>
          <w:rFonts w:ascii="宋体" w:hAnsi="宋体"/>
          <w:b/>
          <w:sz w:val="24"/>
          <w:szCs w:val="24"/>
        </w:rPr>
      </w:pPr>
      <w:r>
        <w:rPr>
          <w:rFonts w:hint="eastAsia" w:ascii="宋体" w:hAnsi="宋体"/>
          <w:b/>
          <w:sz w:val="24"/>
          <w:szCs w:val="24"/>
        </w:rPr>
        <w:t>1、管理层的</w:t>
      </w:r>
      <w:r>
        <w:rPr>
          <w:rFonts w:ascii="宋体" w:hAnsi="宋体"/>
          <w:b/>
          <w:sz w:val="24"/>
          <w:szCs w:val="24"/>
        </w:rPr>
        <w:t>经营责任</w:t>
      </w:r>
    </w:p>
    <w:p>
      <w:pPr>
        <w:spacing w:before="156" w:beforeLines="50" w:after="156" w:afterLines="50" w:line="360" w:lineRule="auto"/>
        <w:ind w:firstLine="424" w:firstLineChars="177"/>
        <w:rPr>
          <w:rFonts w:ascii="宋体" w:hAnsi="宋体"/>
          <w:sz w:val="24"/>
        </w:rPr>
      </w:pPr>
      <w:bookmarkStart w:id="20" w:name="_Toc230143126"/>
      <w:bookmarkStart w:id="21" w:name="_Toc211149629"/>
      <w:r>
        <w:rPr>
          <w:rFonts w:hint="eastAsia" w:ascii="宋体" w:hAnsi="宋体"/>
          <w:sz w:val="24"/>
        </w:rPr>
        <w:t>公司已实行经营责任制，总经理每年给公司管理层下达经营指标，要求定期汇报公司的经营情况，包括生产、销售、资产运行、税务、利润等有关情况，每年对经营者进行一次考核。高层领导又把经营责任层层分解给下属各部门，每年对各部门进行业绩考核。</w:t>
      </w:r>
    </w:p>
    <w:p>
      <w:pPr>
        <w:spacing w:before="156" w:beforeLines="50" w:after="156" w:afterLines="50" w:line="276" w:lineRule="auto"/>
        <w:ind w:firstLine="426" w:firstLineChars="177"/>
        <w:rPr>
          <w:rFonts w:ascii="宋体" w:hAnsi="宋体"/>
          <w:b/>
          <w:sz w:val="24"/>
          <w:szCs w:val="24"/>
        </w:rPr>
      </w:pPr>
      <w:r>
        <w:rPr>
          <w:rFonts w:hint="eastAsia" w:ascii="宋体" w:hAnsi="宋体"/>
          <w:b/>
          <w:sz w:val="24"/>
          <w:szCs w:val="24"/>
        </w:rPr>
        <w:t>2、</w:t>
      </w:r>
      <w:r>
        <w:rPr>
          <w:rFonts w:ascii="宋体" w:hAnsi="宋体"/>
          <w:b/>
          <w:sz w:val="24"/>
          <w:szCs w:val="24"/>
        </w:rPr>
        <w:t>财务方面的责任</w:t>
      </w:r>
      <w:bookmarkEnd w:id="20"/>
      <w:bookmarkEnd w:id="21"/>
    </w:p>
    <w:p>
      <w:pPr>
        <w:spacing w:line="360" w:lineRule="auto"/>
        <w:ind w:firstLine="480" w:firstLineChars="200"/>
        <w:rPr>
          <w:rFonts w:ascii="宋体" w:hAnsi="宋体"/>
          <w:sz w:val="24"/>
        </w:rPr>
      </w:pPr>
      <w:bookmarkStart w:id="22" w:name="_Toc211149630"/>
      <w:bookmarkStart w:id="23" w:name="_Toc230143127"/>
      <w:r>
        <w:rPr>
          <w:rFonts w:hint="eastAsia" w:ascii="宋体" w:hAnsi="宋体"/>
          <w:sz w:val="24"/>
        </w:rPr>
        <w:t>公司依据国家会计准则以及相关法律法规要求，建立健全了包括资产管理、资金管理、技术开发费用管理、成本核算规范、财务报告管理规范等规章制度。公司按照董事会要求进行财务预算和决算，建立了全面的财务报表体系，按月编制和上报各类财务会计报表。对公司重大投资决策和经营活动进行财务分析，规避公司经营风险。</w:t>
      </w:r>
    </w:p>
    <w:p>
      <w:pPr>
        <w:spacing w:line="360" w:lineRule="auto"/>
        <w:ind w:firstLine="480" w:firstLineChars="200"/>
        <w:rPr>
          <w:rFonts w:ascii="宋体" w:hAnsi="宋体"/>
          <w:sz w:val="24"/>
        </w:rPr>
      </w:pPr>
      <w:r>
        <w:rPr>
          <w:rFonts w:hint="eastAsia" w:ascii="宋体" w:hAnsi="宋体"/>
          <w:sz w:val="24"/>
        </w:rPr>
        <w:t>根据公司相关财务管理制度，公司完善内控制度，强化内部制约制度，所有业务均须由经办人注明事由，部门负责人审核和公司领导审批，以确认其真实性和合法性，财务部严格把关。公司各类费用支出严格按规定权限进行审批。对重大项目建设资金支出，按项目实施计划和工程进度，由项目执行负责人审核，分管领导签署确认意见，财务部门严格把关。</w:t>
      </w:r>
    </w:p>
    <w:bookmarkEnd w:id="22"/>
    <w:bookmarkEnd w:id="23"/>
    <w:p>
      <w:pPr>
        <w:spacing w:before="156" w:beforeLines="50" w:after="156" w:afterLines="50" w:line="276" w:lineRule="auto"/>
        <w:ind w:firstLine="426" w:firstLineChars="177"/>
        <w:rPr>
          <w:rFonts w:ascii="宋体" w:hAnsi="宋体"/>
          <w:b/>
          <w:sz w:val="24"/>
          <w:szCs w:val="24"/>
        </w:rPr>
      </w:pPr>
      <w:r>
        <w:rPr>
          <w:rFonts w:hint="eastAsia" w:ascii="宋体" w:hAnsi="宋体"/>
          <w:b/>
          <w:sz w:val="24"/>
          <w:szCs w:val="24"/>
        </w:rPr>
        <w:t>3、运营的透明性</w:t>
      </w:r>
    </w:p>
    <w:p>
      <w:pPr>
        <w:adjustRightInd w:val="0"/>
        <w:spacing w:line="360" w:lineRule="auto"/>
        <w:ind w:firstLine="480" w:firstLineChars="200"/>
        <w:rPr>
          <w:rFonts w:ascii="宋体" w:hAnsi="宋体"/>
          <w:color w:val="000000"/>
          <w:sz w:val="24"/>
        </w:rPr>
      </w:pPr>
      <w:r>
        <w:rPr>
          <w:rFonts w:hint="eastAsia" w:ascii="宋体" w:hAnsi="宋体"/>
          <w:color w:val="000000"/>
          <w:sz w:val="24"/>
          <w:highlight w:val="none"/>
          <w:lang w:val="en-US" w:eastAsia="zh-CN"/>
        </w:rPr>
        <w:t>凯力特</w:t>
      </w:r>
      <w:r>
        <w:rPr>
          <w:rFonts w:hint="eastAsia" w:ascii="宋体" w:hAnsi="宋体"/>
          <w:color w:val="000000"/>
          <w:sz w:val="24"/>
        </w:rPr>
        <w:t>注重经营信息的透明和共享，人事任免、质量问题、先进方法、员工奖励等也都会定期在宣传栏中发布，广泛听取员工意见建议。</w:t>
      </w:r>
    </w:p>
    <w:p>
      <w:pPr>
        <w:spacing w:before="156" w:beforeLines="50" w:after="156" w:afterLines="50" w:line="276" w:lineRule="auto"/>
        <w:ind w:firstLine="426" w:firstLineChars="177"/>
        <w:rPr>
          <w:rFonts w:ascii="宋体" w:hAnsi="宋体"/>
          <w:b/>
          <w:sz w:val="24"/>
          <w:szCs w:val="24"/>
        </w:rPr>
      </w:pPr>
      <w:r>
        <w:rPr>
          <w:rFonts w:hint="eastAsia" w:ascii="宋体" w:hAnsi="宋体"/>
          <w:b/>
          <w:sz w:val="24"/>
          <w:szCs w:val="24"/>
        </w:rPr>
        <w:t>4、</w:t>
      </w:r>
      <w:r>
        <w:rPr>
          <w:rFonts w:ascii="宋体" w:hAnsi="宋体"/>
          <w:b/>
          <w:sz w:val="24"/>
          <w:szCs w:val="24"/>
        </w:rPr>
        <w:t>审计的独立性</w:t>
      </w:r>
    </w:p>
    <w:p>
      <w:pPr>
        <w:adjustRightInd w:val="0"/>
        <w:spacing w:line="360" w:lineRule="auto"/>
        <w:ind w:firstLine="480" w:firstLineChars="200"/>
        <w:rPr>
          <w:rFonts w:ascii="宋体" w:hAnsi="宋体"/>
          <w:color w:val="000000"/>
          <w:sz w:val="24"/>
        </w:rPr>
      </w:pPr>
      <w:r>
        <w:rPr>
          <w:rFonts w:hint="eastAsia" w:ascii="宋体" w:hAnsi="宋体"/>
          <w:color w:val="000000"/>
          <w:sz w:val="24"/>
        </w:rPr>
        <w:t>公司聘请会计师事务所进行外部审计并出具审计报告，以保证公司的会计报表符合国家的《企业会计准则》和《企业会计制度》，公正地反映公司的财务状况，经营成果和现金流量。事务所具备担任审计机构的任职条件，具有相关专业的履职能力，与公司没有关联利益关系，确保了外部审计的独立性。</w:t>
      </w:r>
    </w:p>
    <w:p>
      <w:pPr>
        <w:spacing w:before="156" w:beforeLines="50" w:after="156" w:afterLines="50" w:line="276" w:lineRule="auto"/>
        <w:ind w:firstLine="426" w:firstLineChars="177"/>
        <w:rPr>
          <w:rFonts w:ascii="宋体" w:hAnsi="宋体"/>
          <w:b/>
          <w:sz w:val="24"/>
          <w:szCs w:val="24"/>
        </w:rPr>
      </w:pPr>
      <w:bookmarkStart w:id="24" w:name="_Toc211149631"/>
      <w:bookmarkStart w:id="25" w:name="_Toc230143129"/>
      <w:r>
        <w:rPr>
          <w:rFonts w:hint="eastAsia" w:ascii="宋体" w:hAnsi="宋体"/>
          <w:b/>
          <w:sz w:val="24"/>
          <w:szCs w:val="24"/>
        </w:rPr>
        <w:t>5、</w:t>
      </w:r>
      <w:r>
        <w:rPr>
          <w:rFonts w:ascii="宋体" w:hAnsi="宋体"/>
          <w:b/>
          <w:sz w:val="24"/>
          <w:szCs w:val="24"/>
        </w:rPr>
        <w:t>利益的保护</w:t>
      </w:r>
      <w:bookmarkEnd w:id="24"/>
      <w:bookmarkEnd w:id="25"/>
    </w:p>
    <w:p>
      <w:pPr>
        <w:adjustRightInd w:val="0"/>
        <w:spacing w:line="360" w:lineRule="auto"/>
        <w:ind w:firstLine="420"/>
        <w:rPr>
          <w:rFonts w:ascii="宋体" w:hAnsi="宋体"/>
          <w:color w:val="000000"/>
          <w:sz w:val="24"/>
        </w:rPr>
      </w:pPr>
      <w:r>
        <w:rPr>
          <w:rFonts w:ascii="宋体" w:hAnsi="宋体"/>
          <w:sz w:val="24"/>
        </w:rPr>
        <w:t>公司一贯坚持互利共赢的经营理念，并通过各种方式实现对顾客</w:t>
      </w:r>
      <w:r>
        <w:rPr>
          <w:rFonts w:hint="eastAsia" w:ascii="宋体" w:hAnsi="宋体"/>
          <w:sz w:val="24"/>
        </w:rPr>
        <w:t>、供应商</w:t>
      </w:r>
      <w:r>
        <w:rPr>
          <w:rFonts w:ascii="宋体" w:hAnsi="宋体"/>
          <w:sz w:val="24"/>
        </w:rPr>
        <w:t>等方面利益的负责，具体见表</w:t>
      </w:r>
      <w:r>
        <w:rPr>
          <w:rFonts w:hint="eastAsia" w:ascii="宋体" w:hAnsi="宋体"/>
          <w:sz w:val="24"/>
        </w:rPr>
        <w:t>5-1</w:t>
      </w:r>
      <w:r>
        <w:rPr>
          <w:rFonts w:ascii="宋体" w:hAnsi="宋体"/>
          <w:color w:val="000000"/>
          <w:sz w:val="24"/>
        </w:rPr>
        <w:t>。</w:t>
      </w:r>
    </w:p>
    <w:p>
      <w:pPr>
        <w:pStyle w:val="79"/>
        <w:spacing w:before="120"/>
        <w:jc w:val="center"/>
        <w:rPr>
          <w:rFonts w:ascii="宋体" w:hAnsi="宋体"/>
        </w:rPr>
      </w:pPr>
      <w:bookmarkStart w:id="26" w:name="_Ref326703132"/>
      <w:r>
        <w:rPr>
          <w:rFonts w:hint="eastAsia" w:ascii="宋体" w:hAnsi="宋体"/>
        </w:rPr>
        <w:t>表5-</w:t>
      </w:r>
      <w:bookmarkEnd w:id="26"/>
      <w:r>
        <w:rPr>
          <w:rFonts w:hint="eastAsia" w:ascii="宋体" w:hAnsi="宋体"/>
        </w:rPr>
        <w:t xml:space="preserve">1 </w:t>
      </w:r>
      <w:r>
        <w:rPr>
          <w:rFonts w:ascii="宋体" w:hAnsi="宋体"/>
        </w:rPr>
        <w:t>各相关方利益保护措施</w:t>
      </w:r>
    </w:p>
    <w:tbl>
      <w:tblPr>
        <w:tblStyle w:val="38"/>
        <w:tblW w:w="90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5420"/>
        <w:gridCol w:w="20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jc w:val="center"/>
        </w:trPr>
        <w:tc>
          <w:tcPr>
            <w:tcW w:w="1620" w:type="dxa"/>
            <w:shd w:val="clear" w:color="auto" w:fill="A8D08D" w:themeFill="accent6" w:themeFillTint="99"/>
            <w:vAlign w:val="center"/>
          </w:tcPr>
          <w:p>
            <w:pPr>
              <w:spacing w:line="276" w:lineRule="auto"/>
              <w:jc w:val="center"/>
              <w:rPr>
                <w:rFonts w:ascii="宋体" w:hAnsi="宋体" w:cs="Courier New"/>
                <w:b/>
                <w:szCs w:val="18"/>
              </w:rPr>
            </w:pPr>
            <w:r>
              <w:rPr>
                <w:rFonts w:hint="eastAsia" w:ascii="宋体" w:hAnsi="宋体" w:cs="Courier New"/>
                <w:b/>
                <w:szCs w:val="18"/>
              </w:rPr>
              <w:t>主要相关方</w:t>
            </w:r>
          </w:p>
        </w:tc>
        <w:tc>
          <w:tcPr>
            <w:tcW w:w="5420" w:type="dxa"/>
            <w:shd w:val="clear" w:color="auto" w:fill="A8D08D" w:themeFill="accent6" w:themeFillTint="99"/>
            <w:vAlign w:val="center"/>
          </w:tcPr>
          <w:p>
            <w:pPr>
              <w:spacing w:line="276" w:lineRule="auto"/>
              <w:jc w:val="center"/>
              <w:rPr>
                <w:rFonts w:ascii="宋体" w:hAnsi="宋体" w:cs="Courier New"/>
                <w:b/>
                <w:szCs w:val="18"/>
              </w:rPr>
            </w:pPr>
            <w:r>
              <w:rPr>
                <w:rFonts w:hint="eastAsia" w:ascii="宋体" w:hAnsi="宋体" w:cs="Courier New"/>
                <w:b/>
                <w:szCs w:val="18"/>
              </w:rPr>
              <w:t>具体措施</w:t>
            </w:r>
          </w:p>
        </w:tc>
        <w:tc>
          <w:tcPr>
            <w:tcW w:w="2009" w:type="dxa"/>
            <w:shd w:val="clear" w:color="auto" w:fill="A8D08D" w:themeFill="accent6" w:themeFillTint="99"/>
            <w:vAlign w:val="center"/>
          </w:tcPr>
          <w:p>
            <w:pPr>
              <w:spacing w:line="276" w:lineRule="auto"/>
              <w:jc w:val="center"/>
              <w:rPr>
                <w:rFonts w:ascii="宋体" w:hAnsi="宋体" w:cs="Courier New"/>
                <w:b/>
                <w:szCs w:val="18"/>
              </w:rPr>
            </w:pPr>
            <w:r>
              <w:rPr>
                <w:rFonts w:hint="eastAsia" w:ascii="宋体" w:hAnsi="宋体" w:cs="Courier New"/>
                <w:b/>
                <w:szCs w:val="18"/>
              </w:rPr>
              <w:t>测量指标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0" w:type="dxa"/>
            <w:shd w:val="clear" w:color="auto" w:fill="auto"/>
            <w:vAlign w:val="center"/>
          </w:tcPr>
          <w:p>
            <w:pPr>
              <w:spacing w:line="276" w:lineRule="auto"/>
              <w:jc w:val="center"/>
              <w:rPr>
                <w:rFonts w:ascii="宋体" w:hAnsi="宋体" w:cs="Courier New"/>
                <w:color w:val="000000"/>
                <w:szCs w:val="18"/>
              </w:rPr>
            </w:pPr>
            <w:r>
              <w:rPr>
                <w:rFonts w:hint="eastAsia" w:ascii="宋体" w:hAnsi="宋体" w:cs="Courier New"/>
                <w:color w:val="000000"/>
                <w:szCs w:val="18"/>
              </w:rPr>
              <w:t>顾客</w:t>
            </w:r>
          </w:p>
        </w:tc>
        <w:tc>
          <w:tcPr>
            <w:tcW w:w="5420" w:type="dxa"/>
            <w:shd w:val="clear" w:color="auto" w:fill="auto"/>
            <w:vAlign w:val="center"/>
          </w:tcPr>
          <w:p>
            <w:pPr>
              <w:spacing w:line="276" w:lineRule="auto"/>
              <w:rPr>
                <w:rFonts w:ascii="宋体" w:hAnsi="宋体" w:cs="Courier New"/>
                <w:color w:val="000000"/>
                <w:szCs w:val="18"/>
              </w:rPr>
            </w:pPr>
            <w:r>
              <w:rPr>
                <w:rFonts w:hint="eastAsia" w:ascii="宋体" w:hAnsi="宋体" w:cs="Courier New"/>
                <w:color w:val="000000"/>
                <w:szCs w:val="18"/>
              </w:rPr>
              <w:t>1、明确顾客需要，细分和选择顾客对象。2、降低顾客成本，给客户带来各种便利及实现有效沟通。3、提高产品的价值和质量，保护顾客的利益等。4、在资源有效的情况下，优先保证重点顾客的交货期。5、加强对客户的服务职能，提高顾客满意度。</w:t>
            </w:r>
          </w:p>
        </w:tc>
        <w:tc>
          <w:tcPr>
            <w:tcW w:w="2009" w:type="dxa"/>
            <w:vAlign w:val="center"/>
          </w:tcPr>
          <w:p>
            <w:pPr>
              <w:spacing w:line="276" w:lineRule="auto"/>
              <w:rPr>
                <w:rFonts w:ascii="宋体" w:hAnsi="宋体" w:cs="Courier New"/>
                <w:color w:val="000000"/>
                <w:szCs w:val="18"/>
              </w:rPr>
            </w:pPr>
            <w:r>
              <w:rPr>
                <w:rFonts w:hint="eastAsia" w:ascii="宋体" w:hAnsi="宋体" w:cs="Courier New"/>
                <w:color w:val="000000"/>
                <w:szCs w:val="18"/>
              </w:rPr>
              <w:t>顾客满意度等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0" w:type="dxa"/>
            <w:shd w:val="clear" w:color="auto" w:fill="auto"/>
            <w:vAlign w:val="center"/>
          </w:tcPr>
          <w:p>
            <w:pPr>
              <w:spacing w:line="276" w:lineRule="auto"/>
              <w:jc w:val="center"/>
              <w:rPr>
                <w:rFonts w:ascii="宋体" w:hAnsi="宋体" w:cs="Courier New"/>
                <w:color w:val="000000"/>
                <w:szCs w:val="18"/>
              </w:rPr>
            </w:pPr>
            <w:r>
              <w:rPr>
                <w:rFonts w:hint="eastAsia" w:ascii="宋体" w:hAnsi="宋体" w:cs="Courier New"/>
                <w:color w:val="000000"/>
                <w:szCs w:val="18"/>
              </w:rPr>
              <w:t>政府及社会公众</w:t>
            </w:r>
          </w:p>
        </w:tc>
        <w:tc>
          <w:tcPr>
            <w:tcW w:w="5420" w:type="dxa"/>
            <w:shd w:val="clear" w:color="auto" w:fill="auto"/>
            <w:vAlign w:val="center"/>
          </w:tcPr>
          <w:p>
            <w:pPr>
              <w:spacing w:line="276" w:lineRule="auto"/>
              <w:rPr>
                <w:rFonts w:ascii="宋体" w:hAnsi="宋体" w:cs="Courier New"/>
                <w:color w:val="000000"/>
                <w:szCs w:val="18"/>
              </w:rPr>
            </w:pPr>
            <w:r>
              <w:rPr>
                <w:rFonts w:hint="eastAsia" w:ascii="宋体" w:hAnsi="宋体" w:cs="Courier New"/>
                <w:color w:val="000000"/>
                <w:szCs w:val="18"/>
              </w:rPr>
              <w:t>1、依法纳税，绝不逃税漏税。2、公司决不生产和销售伪劣产品，也不哄抬物价或实行垄断价格对社会公众负责。3、推行“清洁生产”、“节能减排”、“绿色制造”等。4、设立救助奖励资金，支持贫困大学生及奖励优秀学生。</w:t>
            </w:r>
          </w:p>
        </w:tc>
        <w:tc>
          <w:tcPr>
            <w:tcW w:w="2009" w:type="dxa"/>
            <w:vAlign w:val="center"/>
          </w:tcPr>
          <w:p>
            <w:pPr>
              <w:spacing w:line="276" w:lineRule="auto"/>
              <w:rPr>
                <w:rFonts w:ascii="宋体" w:hAnsi="宋体" w:cs="Courier New"/>
                <w:color w:val="000000"/>
                <w:szCs w:val="18"/>
              </w:rPr>
            </w:pPr>
            <w:r>
              <w:rPr>
                <w:rFonts w:hint="eastAsia" w:ascii="宋体" w:hAnsi="宋体" w:cs="Courier New"/>
                <w:color w:val="000000"/>
                <w:szCs w:val="18"/>
              </w:rPr>
              <w:t>慈善捐款额、上缴税收额等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0" w:type="dxa"/>
            <w:shd w:val="clear" w:color="auto" w:fill="auto"/>
            <w:vAlign w:val="center"/>
          </w:tcPr>
          <w:p>
            <w:pPr>
              <w:spacing w:line="276" w:lineRule="auto"/>
              <w:jc w:val="center"/>
              <w:rPr>
                <w:rFonts w:ascii="宋体" w:hAnsi="宋体" w:cs="Courier New"/>
                <w:color w:val="000000"/>
                <w:szCs w:val="18"/>
              </w:rPr>
            </w:pPr>
            <w:r>
              <w:rPr>
                <w:rFonts w:hint="eastAsia" w:ascii="宋体" w:hAnsi="宋体" w:cs="Courier New"/>
                <w:color w:val="000000"/>
                <w:szCs w:val="18"/>
              </w:rPr>
              <w:t>供应商及代理商</w:t>
            </w:r>
          </w:p>
        </w:tc>
        <w:tc>
          <w:tcPr>
            <w:tcW w:w="5420" w:type="dxa"/>
            <w:shd w:val="clear" w:color="auto" w:fill="auto"/>
            <w:vAlign w:val="center"/>
          </w:tcPr>
          <w:p>
            <w:pPr>
              <w:spacing w:line="276" w:lineRule="auto"/>
              <w:rPr>
                <w:rFonts w:ascii="宋体" w:hAnsi="宋体" w:cs="Courier New"/>
                <w:color w:val="000000"/>
                <w:szCs w:val="18"/>
              </w:rPr>
            </w:pPr>
            <w:r>
              <w:rPr>
                <w:rFonts w:hint="eastAsia" w:ascii="宋体" w:hAnsi="宋体" w:cs="Courier New"/>
                <w:color w:val="000000"/>
                <w:szCs w:val="18"/>
              </w:rPr>
              <w:t>1、将“流程透明、集约双赢”等定为公司的采购方针，保障供方的利润空间等。2、按时建立了清晰的供应商接口、多渠道的计划和复审过程来确保供应商符合要求，使质量、成本、准时交付都得到了满足。</w:t>
            </w:r>
          </w:p>
        </w:tc>
        <w:tc>
          <w:tcPr>
            <w:tcW w:w="2009" w:type="dxa"/>
            <w:vAlign w:val="center"/>
          </w:tcPr>
          <w:p>
            <w:pPr>
              <w:spacing w:line="276" w:lineRule="auto"/>
              <w:rPr>
                <w:rFonts w:ascii="宋体" w:hAnsi="宋体" w:cs="Courier New"/>
                <w:color w:val="000000"/>
                <w:szCs w:val="18"/>
              </w:rPr>
            </w:pPr>
            <w:r>
              <w:rPr>
                <w:rFonts w:hint="eastAsia" w:ascii="宋体" w:hAnsi="宋体" w:cs="Courier New"/>
                <w:color w:val="000000"/>
                <w:szCs w:val="18"/>
              </w:rPr>
              <w:t>采购交期达成率等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0" w:type="dxa"/>
            <w:shd w:val="clear" w:color="auto" w:fill="auto"/>
            <w:vAlign w:val="center"/>
          </w:tcPr>
          <w:p>
            <w:pPr>
              <w:spacing w:line="276" w:lineRule="auto"/>
              <w:jc w:val="center"/>
              <w:rPr>
                <w:rFonts w:ascii="宋体" w:hAnsi="宋体" w:cs="Courier New"/>
                <w:color w:val="000000"/>
                <w:szCs w:val="18"/>
              </w:rPr>
            </w:pPr>
            <w:r>
              <w:rPr>
                <w:rFonts w:hint="eastAsia" w:ascii="宋体" w:hAnsi="宋体" w:cs="Courier New"/>
                <w:color w:val="000000"/>
                <w:szCs w:val="18"/>
              </w:rPr>
              <w:t>员工</w:t>
            </w:r>
          </w:p>
        </w:tc>
        <w:tc>
          <w:tcPr>
            <w:tcW w:w="5420" w:type="dxa"/>
            <w:shd w:val="clear" w:color="auto" w:fill="auto"/>
            <w:vAlign w:val="center"/>
          </w:tcPr>
          <w:p>
            <w:pPr>
              <w:spacing w:line="276" w:lineRule="auto"/>
              <w:rPr>
                <w:rFonts w:ascii="宋体" w:hAnsi="宋体" w:cs="Courier New"/>
                <w:color w:val="000000"/>
                <w:szCs w:val="18"/>
              </w:rPr>
            </w:pPr>
            <w:r>
              <w:rPr>
                <w:rFonts w:hint="eastAsia" w:ascii="宋体" w:hAnsi="宋体" w:cs="Courier New"/>
                <w:color w:val="000000"/>
                <w:szCs w:val="18"/>
              </w:rPr>
              <w:t>1、关心员工生活，使员工有归宿感。2、增加员工工资。3、改善生活环境。4、改善员工福利。5、开展各种文娱活动，改善员工生活。</w:t>
            </w:r>
          </w:p>
        </w:tc>
        <w:tc>
          <w:tcPr>
            <w:tcW w:w="2009" w:type="dxa"/>
            <w:vAlign w:val="center"/>
          </w:tcPr>
          <w:p>
            <w:pPr>
              <w:spacing w:line="276" w:lineRule="auto"/>
              <w:rPr>
                <w:rFonts w:ascii="宋体" w:hAnsi="宋体" w:cs="Courier New"/>
                <w:color w:val="000000"/>
                <w:szCs w:val="18"/>
              </w:rPr>
            </w:pPr>
            <w:r>
              <w:rPr>
                <w:rFonts w:hint="eastAsia" w:ascii="宋体" w:hAnsi="宋体" w:cs="Courier New"/>
                <w:color w:val="000000"/>
                <w:szCs w:val="18"/>
              </w:rPr>
              <w:t>员工投诉次数及投诉处理的及时性、培训次数、员工收入增长率等</w:t>
            </w:r>
          </w:p>
        </w:tc>
      </w:tr>
    </w:tbl>
    <w:p>
      <w:pPr>
        <w:tabs>
          <w:tab w:val="left" w:pos="10080"/>
        </w:tabs>
        <w:snapToGrid w:val="0"/>
        <w:spacing w:line="240" w:lineRule="atLeast"/>
        <w:ind w:right="25" w:rightChars="12"/>
        <w:rPr>
          <w:b/>
          <w:szCs w:val="21"/>
        </w:rPr>
      </w:pPr>
    </w:p>
    <w:p>
      <w:pPr>
        <w:spacing w:before="156" w:beforeLines="50" w:after="156" w:afterLines="50" w:line="276" w:lineRule="auto"/>
        <w:outlineLvl w:val="0"/>
        <w:rPr>
          <w:rFonts w:cs="Times New Roman" w:asciiTheme="majorEastAsia" w:hAnsiTheme="majorEastAsia" w:eastAsiaTheme="majorEastAsia"/>
          <w:b/>
          <w:color w:val="000000" w:themeColor="text1"/>
          <w:sz w:val="28"/>
          <w:szCs w:val="24"/>
          <w14:textFill>
            <w14:solidFill>
              <w14:schemeClr w14:val="tx1"/>
            </w14:solidFill>
          </w14:textFill>
        </w:rPr>
      </w:pPr>
      <w:bookmarkStart w:id="27" w:name="_Toc451610895"/>
      <w:bookmarkStart w:id="28" w:name="_Toc451610988"/>
      <w:r>
        <w:rPr>
          <w:rFonts w:hint="eastAsia" w:cs="Times New Roman" w:asciiTheme="majorEastAsia" w:hAnsiTheme="majorEastAsia" w:eastAsiaTheme="majorEastAsia"/>
          <w:b/>
          <w:color w:val="000000" w:themeColor="text1"/>
          <w:sz w:val="28"/>
          <w:szCs w:val="24"/>
          <w14:textFill>
            <w14:solidFill>
              <w14:schemeClr w14:val="tx1"/>
            </w14:solidFill>
          </w14:textFill>
        </w:rPr>
        <w:t>四、社会责任</w:t>
      </w:r>
      <w:bookmarkEnd w:id="27"/>
      <w:bookmarkEnd w:id="28"/>
    </w:p>
    <w:p>
      <w:pPr>
        <w:spacing w:before="156" w:beforeLines="50" w:after="156" w:afterLines="50" w:line="276" w:lineRule="auto"/>
        <w:outlineLvl w:val="1"/>
        <w:rPr>
          <w:rFonts w:cs="Times New Roman" w:asciiTheme="majorEastAsia" w:hAnsiTheme="majorEastAsia" w:eastAsiaTheme="majorEastAsia"/>
          <w:b/>
          <w:color w:val="000000" w:themeColor="text1"/>
          <w:sz w:val="24"/>
          <w:szCs w:val="24"/>
          <w14:textFill>
            <w14:solidFill>
              <w14:schemeClr w14:val="tx1"/>
            </w14:solidFill>
          </w14:textFill>
        </w:rPr>
      </w:pPr>
      <w:bookmarkStart w:id="29" w:name="_Toc451610989"/>
      <w:bookmarkStart w:id="30" w:name="_Toc451610896"/>
      <w:r>
        <w:rPr>
          <w:rFonts w:hint="eastAsia" w:cs="Times New Roman" w:asciiTheme="majorEastAsia" w:hAnsiTheme="majorEastAsia" w:eastAsiaTheme="majorEastAsia"/>
          <w:b/>
          <w:color w:val="000000" w:themeColor="text1"/>
          <w:sz w:val="24"/>
          <w:szCs w:val="24"/>
          <w14:textFill>
            <w14:solidFill>
              <w14:schemeClr w14:val="tx1"/>
            </w14:solidFill>
          </w14:textFill>
        </w:rPr>
        <w:t>（一）诚信守法</w:t>
      </w:r>
      <w:bookmarkEnd w:id="29"/>
      <w:bookmarkEnd w:id="30"/>
    </w:p>
    <w:p>
      <w:pPr>
        <w:spacing w:before="100" w:after="100" w:line="360" w:lineRule="auto"/>
        <w:ind w:firstLine="600" w:firstLineChars="250"/>
        <w:rPr>
          <w:rFonts w:cs="Times New Roman" w:asciiTheme="minorEastAsia" w:hAnsiTheme="minorEastAsia"/>
          <w:sz w:val="24"/>
          <w:szCs w:val="24"/>
        </w:rPr>
      </w:pPr>
      <w:r>
        <w:rPr>
          <w:rFonts w:cs="Times New Roman" w:asciiTheme="minorEastAsia" w:hAnsiTheme="minorEastAsia"/>
          <w:sz w:val="24"/>
          <w:szCs w:val="24"/>
        </w:rPr>
        <w:t>高层领导遵循“依法经营、诚信经营”的管理理念，严格遵循《公司法》、《经济法》、《</w:t>
      </w:r>
      <w:r>
        <w:rPr>
          <w:rFonts w:hint="eastAsia" w:cs="Times New Roman" w:asciiTheme="minorEastAsia" w:hAnsiTheme="minorEastAsia"/>
          <w:sz w:val="24"/>
          <w:szCs w:val="24"/>
          <w:lang w:val="en-US" w:eastAsia="zh-CN"/>
        </w:rPr>
        <w:t>民法典</w:t>
      </w:r>
      <w:r>
        <w:rPr>
          <w:rFonts w:cs="Times New Roman" w:asciiTheme="minorEastAsia" w:hAnsiTheme="minorEastAsia"/>
          <w:sz w:val="24"/>
          <w:szCs w:val="24"/>
        </w:rPr>
        <w:t>》、《产品质量法》、《安全生产法》、《环保法》、《劳动法》以及</w:t>
      </w:r>
      <w:r>
        <w:rPr>
          <w:rFonts w:hint="eastAsia" w:cs="Times New Roman" w:asciiTheme="minorEastAsia" w:hAnsiTheme="minorEastAsia"/>
          <w:sz w:val="24"/>
          <w:szCs w:val="24"/>
          <w:highlight w:val="none"/>
          <w:lang w:val="en-US" w:eastAsia="zh-CN"/>
        </w:rPr>
        <w:t>自动化设备</w:t>
      </w:r>
      <w:r>
        <w:rPr>
          <w:rFonts w:hint="eastAsia" w:cs="Times New Roman" w:asciiTheme="minorEastAsia" w:hAnsiTheme="minorEastAsia"/>
          <w:sz w:val="24"/>
          <w:szCs w:val="24"/>
        </w:rPr>
        <w:t>行业</w:t>
      </w:r>
      <w:r>
        <w:rPr>
          <w:rFonts w:cs="Times New Roman" w:asciiTheme="minorEastAsia" w:hAnsiTheme="minorEastAsia"/>
          <w:sz w:val="24"/>
          <w:szCs w:val="24"/>
        </w:rPr>
        <w:t>的相关法律法规，加强员工法律知识培训，配合政府部门开展普法教育活动，鼓励表彰员工的“正能量”，使诚信守法的作风深入公司全体员工的意识和行为。公司合同主动违约率为零，从不拖欠银行贷款，逾期应收账款降至合理范围，公司高层、中层领导都没有违法乱纪纪录，员工违法次数为零，在顾客、用户、公众、社会中树立了良好的信用道德形象。</w:t>
      </w:r>
    </w:p>
    <w:p>
      <w:pPr>
        <w:spacing w:before="156" w:beforeLines="50" w:after="156" w:afterLines="50" w:line="276" w:lineRule="auto"/>
        <w:outlineLvl w:val="1"/>
        <w:rPr>
          <w:rFonts w:cs="Times New Roman" w:asciiTheme="majorEastAsia" w:hAnsiTheme="majorEastAsia" w:eastAsiaTheme="majorEastAsia"/>
          <w:b/>
          <w:color w:val="000000" w:themeColor="text1"/>
          <w:sz w:val="24"/>
          <w:szCs w:val="24"/>
          <w14:textFill>
            <w14:solidFill>
              <w14:schemeClr w14:val="tx1"/>
            </w14:solidFill>
          </w14:textFill>
        </w:rPr>
      </w:pPr>
      <w:bookmarkStart w:id="31" w:name="_Toc451610990"/>
      <w:bookmarkStart w:id="32" w:name="_Toc451610897"/>
      <w:r>
        <w:rPr>
          <w:rFonts w:hint="eastAsia" w:cs="Times New Roman" w:asciiTheme="majorEastAsia" w:hAnsiTheme="majorEastAsia" w:eastAsiaTheme="majorEastAsia"/>
          <w:b/>
          <w:color w:val="000000" w:themeColor="text1"/>
          <w:sz w:val="24"/>
          <w:szCs w:val="24"/>
          <w14:textFill>
            <w14:solidFill>
              <w14:schemeClr w14:val="tx1"/>
            </w14:solidFill>
          </w14:textFill>
        </w:rPr>
        <w:t>（二）质量安全</w:t>
      </w:r>
      <w:bookmarkEnd w:id="31"/>
      <w:bookmarkEnd w:id="32"/>
    </w:p>
    <w:p>
      <w:pPr>
        <w:topLinePunct/>
        <w:spacing w:line="360" w:lineRule="auto"/>
        <w:ind w:firstLine="480" w:firstLineChars="200"/>
        <w:rPr>
          <w:rFonts w:cs="Times New Roman" w:asciiTheme="minorEastAsia" w:hAnsiTheme="minorEastAsia"/>
          <w:sz w:val="24"/>
          <w:szCs w:val="24"/>
        </w:rPr>
      </w:pPr>
      <w:r>
        <w:rPr>
          <w:rFonts w:cs="Times New Roman" w:asciiTheme="minorEastAsia" w:hAnsiTheme="minorEastAsia"/>
          <w:sz w:val="24"/>
          <w:szCs w:val="24"/>
        </w:rPr>
        <w:t>公司制定常规产品生产运行控制流程，做到每一个环节严格控制，严格把关，确保每个</w:t>
      </w:r>
      <w:r>
        <w:rPr>
          <w:rFonts w:hint="eastAsia" w:cs="Times New Roman" w:asciiTheme="minorEastAsia" w:hAnsiTheme="minorEastAsia"/>
          <w:sz w:val="24"/>
          <w:szCs w:val="24"/>
        </w:rPr>
        <w:t>产品</w:t>
      </w:r>
      <w:r>
        <w:rPr>
          <w:rFonts w:cs="Times New Roman" w:asciiTheme="minorEastAsia" w:hAnsiTheme="minorEastAsia"/>
          <w:sz w:val="24"/>
          <w:szCs w:val="24"/>
        </w:rPr>
        <w:t>的生产都符合相关要求，确保最终产品质量的合格。公司还运用三检制，即自检、抽检、质量监察小组对产品质量进行严格把控。其中自检包括产品自检和</w:t>
      </w:r>
      <w:r>
        <w:rPr>
          <w:rFonts w:hint="eastAsia" w:cs="Times New Roman" w:asciiTheme="minorEastAsia" w:hAnsiTheme="minorEastAsia"/>
          <w:sz w:val="24"/>
          <w:szCs w:val="24"/>
        </w:rPr>
        <w:t>后整理</w:t>
      </w:r>
      <w:r>
        <w:rPr>
          <w:rFonts w:cs="Times New Roman" w:asciiTheme="minorEastAsia" w:hAnsiTheme="minorEastAsia"/>
          <w:sz w:val="24"/>
          <w:szCs w:val="24"/>
        </w:rPr>
        <w:t>自检，产品自检是指员工对自己所生产出来的产品，按照</w:t>
      </w:r>
      <w:r>
        <w:rPr>
          <w:rFonts w:hint="eastAsia" w:cs="Times New Roman" w:asciiTheme="minorEastAsia" w:hAnsiTheme="minorEastAsia"/>
          <w:sz w:val="24"/>
          <w:szCs w:val="24"/>
        </w:rPr>
        <w:t>生产工艺单的</w:t>
      </w:r>
      <w:r>
        <w:rPr>
          <w:rFonts w:cs="Times New Roman" w:asciiTheme="minorEastAsia" w:hAnsiTheme="minorEastAsia"/>
          <w:sz w:val="24"/>
          <w:szCs w:val="24"/>
        </w:rPr>
        <w:t>要求自行进行检验，并作出是否合格的判定且在《自检单》上做好相关的自检记录；</w:t>
      </w:r>
      <w:r>
        <w:rPr>
          <w:rFonts w:hint="eastAsia" w:cs="Times New Roman" w:asciiTheme="minorEastAsia" w:hAnsiTheme="minorEastAsia"/>
          <w:sz w:val="24"/>
          <w:szCs w:val="24"/>
        </w:rPr>
        <w:t>后整理</w:t>
      </w:r>
      <w:r>
        <w:rPr>
          <w:rFonts w:cs="Times New Roman" w:asciiTheme="minorEastAsia" w:hAnsiTheme="minorEastAsia"/>
          <w:sz w:val="24"/>
          <w:szCs w:val="24"/>
        </w:rPr>
        <w:t>自检涵盖</w:t>
      </w:r>
      <w:r>
        <w:rPr>
          <w:rFonts w:hint="eastAsia" w:cs="Times New Roman" w:asciiTheme="minorEastAsia" w:hAnsiTheme="minorEastAsia"/>
          <w:sz w:val="24"/>
          <w:szCs w:val="24"/>
        </w:rPr>
        <w:t>产品制造</w:t>
      </w:r>
      <w:r>
        <w:rPr>
          <w:rFonts w:cs="Times New Roman" w:asciiTheme="minorEastAsia" w:hAnsiTheme="minorEastAsia"/>
          <w:sz w:val="24"/>
          <w:szCs w:val="24"/>
        </w:rPr>
        <w:t>的各个工序</w:t>
      </w:r>
      <w:r>
        <w:rPr>
          <w:rFonts w:hint="eastAsia" w:cs="Times New Roman" w:asciiTheme="minorEastAsia" w:hAnsiTheme="minorEastAsia"/>
          <w:sz w:val="24"/>
          <w:szCs w:val="24"/>
        </w:rPr>
        <w:t>。</w:t>
      </w:r>
    </w:p>
    <w:p>
      <w:pPr>
        <w:spacing w:before="156" w:beforeLines="50" w:after="156" w:afterLines="50" w:line="276" w:lineRule="auto"/>
        <w:outlineLvl w:val="1"/>
        <w:rPr>
          <w:rFonts w:cs="Times New Roman" w:asciiTheme="majorEastAsia" w:hAnsiTheme="majorEastAsia" w:eastAsiaTheme="majorEastAsia"/>
          <w:b/>
          <w:color w:val="000000" w:themeColor="text1"/>
          <w:sz w:val="24"/>
          <w:szCs w:val="24"/>
          <w14:textFill>
            <w14:solidFill>
              <w14:schemeClr w14:val="tx1"/>
            </w14:solidFill>
          </w14:textFill>
        </w:rPr>
      </w:pPr>
      <w:bookmarkStart w:id="33" w:name="_Toc451610991"/>
      <w:bookmarkStart w:id="34" w:name="_Toc451610898"/>
      <w:r>
        <w:rPr>
          <w:rFonts w:hint="eastAsia" w:cs="Times New Roman" w:asciiTheme="majorEastAsia" w:hAnsiTheme="majorEastAsia" w:eastAsiaTheme="majorEastAsia"/>
          <w:b/>
          <w:color w:val="000000" w:themeColor="text1"/>
          <w:sz w:val="24"/>
          <w:szCs w:val="24"/>
          <w14:textFill>
            <w14:solidFill>
              <w14:schemeClr w14:val="tx1"/>
            </w14:solidFill>
          </w14:textFill>
        </w:rPr>
        <w:t>（三）员工权益</w:t>
      </w:r>
      <w:bookmarkEnd w:id="33"/>
      <w:bookmarkEnd w:id="34"/>
      <w:bookmarkStart w:id="35" w:name="_Ref328491126"/>
    </w:p>
    <w:bookmarkEnd w:id="35"/>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尊重员工，</w:t>
      </w:r>
      <w:r>
        <w:rPr>
          <w:rFonts w:cs="Times New Roman" w:asciiTheme="minorEastAsia" w:hAnsiTheme="minorEastAsia"/>
          <w:kern w:val="0"/>
          <w:sz w:val="24"/>
          <w:szCs w:val="24"/>
        </w:rPr>
        <w:t>保障员工的合法权益</w:t>
      </w:r>
    </w:p>
    <w:p>
      <w:pPr>
        <w:adjustRightInd w:val="0"/>
        <w:snapToGrid w:val="0"/>
        <w:spacing w:before="156" w:beforeLines="50"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公司</w:t>
      </w:r>
      <w:r>
        <w:rPr>
          <w:rFonts w:cs="Times New Roman" w:asciiTheme="minorEastAsia" w:hAnsiTheme="minorEastAsia"/>
          <w:kern w:val="0"/>
          <w:sz w:val="24"/>
          <w:szCs w:val="24"/>
        </w:rPr>
        <w:t>自成立以来严格遵守《中华人民共和国劳动法》、《中华人民共和国劳动合同法》等劳动和社会保障</w:t>
      </w:r>
      <w:r>
        <w:rPr>
          <w:rFonts w:hint="eastAsia" w:cs="Times New Roman" w:asciiTheme="minorEastAsia" w:hAnsiTheme="minorEastAsia"/>
          <w:kern w:val="0"/>
          <w:sz w:val="24"/>
          <w:szCs w:val="24"/>
        </w:rPr>
        <w:t>方面</w:t>
      </w:r>
      <w:r>
        <w:rPr>
          <w:rFonts w:cs="Times New Roman" w:asciiTheme="minorEastAsia" w:hAnsiTheme="minorEastAsia"/>
          <w:kern w:val="0"/>
          <w:sz w:val="24"/>
          <w:szCs w:val="24"/>
        </w:rPr>
        <w:t>的法律、法规和规章</w:t>
      </w:r>
      <w:r>
        <w:rPr>
          <w:rFonts w:hint="eastAsia" w:asciiTheme="minorEastAsia" w:hAnsiTheme="minorEastAsia"/>
          <w:sz w:val="24"/>
          <w:szCs w:val="24"/>
        </w:rPr>
        <w:t>。</w:t>
      </w:r>
      <w:r>
        <w:rPr>
          <w:rFonts w:asciiTheme="minorEastAsia" w:hAnsiTheme="minorEastAsia"/>
          <w:sz w:val="24"/>
          <w:szCs w:val="24"/>
        </w:rPr>
        <w:t>实行劳动合同制，与</w:t>
      </w:r>
      <w:r>
        <w:rPr>
          <w:rFonts w:hint="eastAsia" w:asciiTheme="minorEastAsia" w:hAnsiTheme="minorEastAsia"/>
          <w:sz w:val="24"/>
          <w:szCs w:val="24"/>
        </w:rPr>
        <w:t>所有员工</w:t>
      </w:r>
      <w:r>
        <w:rPr>
          <w:rFonts w:asciiTheme="minorEastAsia" w:hAnsiTheme="minorEastAsia"/>
          <w:sz w:val="24"/>
          <w:szCs w:val="24"/>
        </w:rPr>
        <w:t>按照《劳动合同法》的有关规定签订了《劳动合同》，并为员工提供了社会保障计划。目前，公司已根据国家及地方的有关规定，为员工缴纳了养老保险金、工伤保险金、医疗保险金、失业保</w:t>
      </w:r>
      <w:r>
        <w:rPr>
          <w:rFonts w:hint="eastAsia" w:asciiTheme="minorEastAsia" w:hAnsiTheme="minorEastAsia"/>
          <w:sz w:val="24"/>
          <w:szCs w:val="24"/>
        </w:rPr>
        <w:t>险</w:t>
      </w:r>
      <w:r>
        <w:rPr>
          <w:rFonts w:asciiTheme="minorEastAsia" w:hAnsiTheme="minorEastAsia"/>
          <w:sz w:val="24"/>
          <w:szCs w:val="24"/>
        </w:rPr>
        <w:t>金、生育保险金。</w:t>
      </w:r>
      <w:r>
        <w:rPr>
          <w:rFonts w:hint="eastAsia" w:asciiTheme="minorEastAsia" w:hAnsiTheme="minorEastAsia"/>
          <w:sz w:val="24"/>
          <w:szCs w:val="24"/>
        </w:rPr>
        <w:t>员工可享受法定休假、婚假、丧假、产假等带薪假期。公司</w:t>
      </w:r>
      <w:r>
        <w:rPr>
          <w:rFonts w:asciiTheme="minorEastAsia" w:hAnsiTheme="minorEastAsia"/>
          <w:sz w:val="24"/>
          <w:szCs w:val="24"/>
        </w:rPr>
        <w:t>社会保险覆盖面为</w:t>
      </w:r>
      <w:r>
        <w:rPr>
          <w:rFonts w:hint="eastAsia" w:asciiTheme="minorEastAsia" w:hAnsiTheme="minorEastAsia"/>
          <w:sz w:val="24"/>
          <w:szCs w:val="24"/>
        </w:rPr>
        <w:t>100</w:t>
      </w:r>
      <w:r>
        <w:rPr>
          <w:rFonts w:asciiTheme="minorEastAsia" w:hAnsiTheme="minorEastAsia"/>
          <w:sz w:val="24"/>
          <w:szCs w:val="24"/>
        </w:rPr>
        <w:t>%，劳动合同</w:t>
      </w:r>
      <w:r>
        <w:rPr>
          <w:rFonts w:hint="eastAsia" w:asciiTheme="minorEastAsia" w:hAnsiTheme="minorEastAsia"/>
          <w:sz w:val="24"/>
          <w:szCs w:val="24"/>
        </w:rPr>
        <w:t>签订</w:t>
      </w:r>
      <w:r>
        <w:rPr>
          <w:rFonts w:asciiTheme="minorEastAsia" w:hAnsiTheme="minorEastAsia"/>
          <w:sz w:val="24"/>
          <w:szCs w:val="24"/>
        </w:rPr>
        <w:t>率为</w:t>
      </w:r>
      <w:r>
        <w:rPr>
          <w:rFonts w:hint="eastAsia" w:asciiTheme="minorEastAsia" w:hAnsiTheme="minorEastAsia"/>
          <w:sz w:val="24"/>
          <w:szCs w:val="24"/>
        </w:rPr>
        <w:t>100</w:t>
      </w:r>
      <w:r>
        <w:rPr>
          <w:rFonts w:asciiTheme="minorEastAsia" w:hAnsiTheme="minorEastAsia"/>
          <w:sz w:val="24"/>
          <w:szCs w:val="24"/>
        </w:rPr>
        <w:t>%。</w:t>
      </w:r>
      <w:r>
        <w:rPr>
          <w:rFonts w:hint="eastAsia" w:asciiTheme="minorEastAsia" w:hAnsiTheme="minorEastAsia"/>
          <w:sz w:val="24"/>
          <w:szCs w:val="24"/>
        </w:rPr>
        <w:t>同时，员工享有外出参观学习、发放过</w:t>
      </w:r>
      <w:r>
        <w:rPr>
          <w:rFonts w:hint="eastAsia" w:cs="Times New Roman" w:asciiTheme="minorEastAsia" w:hAnsiTheme="minorEastAsia"/>
          <w:kern w:val="0"/>
          <w:sz w:val="24"/>
          <w:szCs w:val="24"/>
        </w:rPr>
        <w:t>节福利、防暑降温药品等福利。公司</w:t>
      </w:r>
      <w:r>
        <w:rPr>
          <w:rFonts w:cs="Times New Roman" w:asciiTheme="minorEastAsia" w:hAnsiTheme="minorEastAsia"/>
          <w:kern w:val="0"/>
          <w:sz w:val="24"/>
          <w:szCs w:val="24"/>
        </w:rPr>
        <w:t>不断完善员工反映问题和</w:t>
      </w:r>
      <w:r>
        <w:rPr>
          <w:rFonts w:hint="eastAsia" w:cs="Times New Roman" w:asciiTheme="minorEastAsia" w:hAnsiTheme="minorEastAsia"/>
          <w:kern w:val="0"/>
          <w:sz w:val="24"/>
          <w:szCs w:val="24"/>
        </w:rPr>
        <w:t>诉求</w:t>
      </w:r>
      <w:r>
        <w:rPr>
          <w:rFonts w:cs="Times New Roman" w:asciiTheme="minorEastAsia" w:hAnsiTheme="minorEastAsia"/>
          <w:kern w:val="0"/>
          <w:sz w:val="24"/>
          <w:szCs w:val="24"/>
        </w:rPr>
        <w:t>的渠道及处理机制</w:t>
      </w:r>
      <w:r>
        <w:rPr>
          <w:rFonts w:hint="eastAsia" w:cs="Times New Roman" w:asciiTheme="minorEastAsia" w:hAnsiTheme="minorEastAsia"/>
          <w:kern w:val="0"/>
          <w:sz w:val="24"/>
          <w:szCs w:val="24"/>
        </w:rPr>
        <w:t>。员工可</w:t>
      </w:r>
      <w:r>
        <w:rPr>
          <w:rFonts w:cs="Times New Roman" w:asciiTheme="minorEastAsia" w:hAnsiTheme="minorEastAsia"/>
          <w:kern w:val="0"/>
          <w:sz w:val="24"/>
          <w:szCs w:val="24"/>
        </w:rPr>
        <w:t>通过电话、微信</w:t>
      </w:r>
      <w:r>
        <w:rPr>
          <w:rFonts w:hint="eastAsia" w:cs="Times New Roman" w:asciiTheme="minorEastAsia" w:hAnsiTheme="minorEastAsia"/>
          <w:kern w:val="0"/>
          <w:sz w:val="24"/>
          <w:szCs w:val="24"/>
        </w:rPr>
        <w:t>等</w:t>
      </w:r>
      <w:r>
        <w:rPr>
          <w:rFonts w:cs="Times New Roman" w:asciiTheme="minorEastAsia" w:hAnsiTheme="minorEastAsia"/>
          <w:kern w:val="0"/>
          <w:sz w:val="24"/>
          <w:szCs w:val="24"/>
        </w:rPr>
        <w:t>渠道，反映</w:t>
      </w:r>
      <w:r>
        <w:rPr>
          <w:rFonts w:hint="eastAsia" w:cs="Times New Roman" w:asciiTheme="minorEastAsia" w:hAnsiTheme="minorEastAsia"/>
          <w:kern w:val="0"/>
          <w:sz w:val="24"/>
          <w:szCs w:val="24"/>
        </w:rPr>
        <w:t>他们</w:t>
      </w:r>
      <w:r>
        <w:rPr>
          <w:rFonts w:cs="Times New Roman" w:asciiTheme="minorEastAsia" w:hAnsiTheme="minorEastAsia"/>
          <w:kern w:val="0"/>
          <w:sz w:val="24"/>
          <w:szCs w:val="24"/>
        </w:rPr>
        <w:t>遇到或可能发生的问题。公司</w:t>
      </w:r>
      <w:r>
        <w:rPr>
          <w:rFonts w:hint="eastAsia" w:cs="Times New Roman" w:asciiTheme="minorEastAsia" w:hAnsiTheme="minorEastAsia"/>
          <w:kern w:val="0"/>
          <w:sz w:val="24"/>
          <w:szCs w:val="24"/>
        </w:rPr>
        <w:t>高度</w:t>
      </w:r>
      <w:r>
        <w:rPr>
          <w:rFonts w:cs="Times New Roman" w:asciiTheme="minorEastAsia" w:hAnsiTheme="minorEastAsia"/>
          <w:kern w:val="0"/>
          <w:sz w:val="24"/>
          <w:szCs w:val="24"/>
        </w:rPr>
        <w:t>重视员工申述</w:t>
      </w:r>
      <w:r>
        <w:rPr>
          <w:rFonts w:hint="eastAsia" w:cs="Times New Roman" w:asciiTheme="minorEastAsia" w:hAnsiTheme="minorEastAsia"/>
          <w:kern w:val="0"/>
          <w:sz w:val="24"/>
          <w:szCs w:val="24"/>
        </w:rPr>
        <w:t>事件</w:t>
      </w:r>
      <w:r>
        <w:rPr>
          <w:rFonts w:cs="Times New Roman" w:asciiTheme="minorEastAsia" w:hAnsiTheme="minorEastAsia"/>
          <w:kern w:val="0"/>
          <w:sz w:val="24"/>
          <w:szCs w:val="24"/>
        </w:rPr>
        <w:t>，保证处理程序正当、依据明确</w:t>
      </w:r>
      <w:r>
        <w:rPr>
          <w:rFonts w:hint="eastAsia" w:cs="Times New Roman" w:asciiTheme="minorEastAsia" w:hAnsiTheme="minorEastAsia"/>
          <w:kern w:val="0"/>
          <w:sz w:val="24"/>
          <w:szCs w:val="24"/>
        </w:rPr>
        <w:t>、</w:t>
      </w:r>
      <w:r>
        <w:rPr>
          <w:rFonts w:cs="Times New Roman" w:asciiTheme="minorEastAsia" w:hAnsiTheme="minorEastAsia"/>
          <w:kern w:val="0"/>
          <w:sz w:val="24"/>
          <w:szCs w:val="24"/>
        </w:rPr>
        <w:t>结果恰当，保障了员工的合法权益。</w:t>
      </w:r>
    </w:p>
    <w:p>
      <w:pPr>
        <w:topLinePunct/>
        <w:spacing w:line="360" w:lineRule="auto"/>
        <w:ind w:firstLine="480" w:firstLineChars="200"/>
        <w:rPr>
          <w:rFonts w:cs="Times New Roman" w:asciiTheme="minorEastAsia" w:hAnsiTheme="minorEastAsia"/>
          <w:kern w:val="0"/>
          <w:sz w:val="24"/>
          <w:szCs w:val="24"/>
        </w:rPr>
      </w:pPr>
      <w:r>
        <w:rPr>
          <w:rFonts w:cs="Times New Roman" w:asciiTheme="minorEastAsia" w:hAnsiTheme="minorEastAsia"/>
          <w:kern w:val="0"/>
          <w:sz w:val="24"/>
          <w:szCs w:val="24"/>
        </w:rPr>
        <w:t>公司还特别关注一些特殊群体的需求，如关注女性员工的工作环境、工作时间、工作强度以及长期性的职业发展、公平机会等因素；针对现在越来越多的80后、90后群体的特质给予更多的关注，为其制定职业生涯规划，明确发展通道，开展师带徒手把手指导和专项培训，给予更高工作目标，提高其业务技能和个体素质；针对家庭有困难的员工，公司通过基金会予以大力帮助和支持，董事长亲自出面联系优质医疗资源、教育资源，视员工为亲人，不断提升员工归属感。</w:t>
      </w:r>
    </w:p>
    <w:p>
      <w:pPr>
        <w:topLinePunct/>
        <w:spacing w:line="360" w:lineRule="auto"/>
        <w:ind w:firstLine="480" w:firstLineChars="200"/>
        <w:rPr>
          <w:rFonts w:cs="Times New Roman" w:asciiTheme="minorEastAsia" w:hAnsiTheme="minorEastAsia"/>
          <w:kern w:val="0"/>
          <w:sz w:val="24"/>
          <w:szCs w:val="24"/>
        </w:rPr>
      </w:pPr>
      <w:r>
        <w:rPr>
          <w:rFonts w:cs="Times New Roman" w:asciiTheme="minorEastAsia" w:hAnsiTheme="minorEastAsia"/>
          <w:kern w:val="0"/>
          <w:sz w:val="24"/>
          <w:szCs w:val="24"/>
        </w:rPr>
        <w:t>公司通过各种方式，如国庆、</w:t>
      </w:r>
      <w:r>
        <w:rPr>
          <w:rFonts w:hint="eastAsia" w:cs="Times New Roman" w:asciiTheme="minorEastAsia" w:hAnsiTheme="minorEastAsia"/>
          <w:kern w:val="0"/>
          <w:sz w:val="24"/>
          <w:szCs w:val="24"/>
        </w:rPr>
        <w:t>五一</w:t>
      </w:r>
      <w:r>
        <w:rPr>
          <w:rFonts w:cs="Times New Roman" w:asciiTheme="minorEastAsia" w:hAnsiTheme="minorEastAsia"/>
          <w:kern w:val="0"/>
          <w:sz w:val="24"/>
          <w:szCs w:val="24"/>
        </w:rPr>
        <w:t>文体活动等，丰富员工的工作和业余生活，构造和谐工作环境，激发员工爱心、积极性和创造性，促进公司和谐发展。</w:t>
      </w:r>
    </w:p>
    <w:p>
      <w:pPr>
        <w:topLinePunct/>
        <w:spacing w:line="360" w:lineRule="auto"/>
        <w:ind w:firstLine="480" w:firstLineChars="200"/>
        <w:rPr>
          <w:rFonts w:ascii="宋体" w:hAnsi="宋体" w:eastAsia="宋体" w:cs="Helvetica"/>
          <w:b/>
          <w:bCs/>
          <w:color w:val="000000" w:themeColor="text1"/>
          <w:kern w:val="0"/>
          <w:sz w:val="24"/>
          <w:szCs w:val="24"/>
          <w:lang w:val="en"/>
          <w14:textFill>
            <w14:solidFill>
              <w14:schemeClr w14:val="tx1"/>
            </w14:solidFill>
          </w14:textFill>
        </w:rPr>
      </w:pPr>
      <w:r>
        <w:rPr>
          <w:rFonts w:cs="Times New Roman" w:asciiTheme="minorEastAsia" w:hAnsiTheme="minorEastAsia"/>
          <w:color w:val="000000"/>
          <w:sz w:val="24"/>
          <w:szCs w:val="24"/>
        </w:rPr>
        <w:t>公司高层领导通过短信/微信平台、合理化建议、员工满意度调查、员工座谈会、下基层参加部门例会、娱乐活动、午餐会等形式，调查、了解员工意见和建议，获取员工满意度信息。明确的问题由行政部负责跟踪督办，要求各相关职能部门在规定时间内进行处理。高层领导注重现场了解情况并在承诺时间内及时做出积极的反馈和处理。</w:t>
      </w:r>
      <w:bookmarkStart w:id="36" w:name="_Toc451610993"/>
      <w:bookmarkStart w:id="37" w:name="_Toc451610900"/>
    </w:p>
    <w:bookmarkEnd w:id="36"/>
    <w:bookmarkEnd w:id="37"/>
    <w:p>
      <w:pPr>
        <w:spacing w:before="156" w:beforeLines="50" w:after="156" w:afterLines="50" w:line="276" w:lineRule="auto"/>
        <w:outlineLvl w:val="0"/>
        <w:rPr>
          <w:rFonts w:cs="Times New Roman" w:asciiTheme="majorEastAsia" w:hAnsiTheme="majorEastAsia" w:eastAsiaTheme="majorEastAsia"/>
          <w:b/>
          <w:color w:val="000000" w:themeColor="text1"/>
          <w:sz w:val="28"/>
          <w:szCs w:val="24"/>
          <w14:textFill>
            <w14:solidFill>
              <w14:schemeClr w14:val="tx1"/>
            </w14:solidFill>
          </w14:textFill>
        </w:rPr>
      </w:pPr>
      <w:r>
        <w:rPr>
          <w:rFonts w:hint="eastAsia" w:cs="Times New Roman" w:asciiTheme="majorEastAsia" w:hAnsiTheme="majorEastAsia" w:eastAsiaTheme="majorEastAsia"/>
          <w:b/>
          <w:color w:val="000000" w:themeColor="text1"/>
          <w:sz w:val="28"/>
          <w:szCs w:val="24"/>
          <w14:textFill>
            <w14:solidFill>
              <w14:schemeClr w14:val="tx1"/>
            </w14:solidFill>
          </w14:textFill>
        </w:rPr>
        <w:t>五、环境责任</w:t>
      </w:r>
    </w:p>
    <w:p>
      <w:pPr>
        <w:spacing w:line="360" w:lineRule="auto"/>
        <w:ind w:firstLine="480" w:firstLineChars="200"/>
        <w:rPr>
          <w:rFonts w:ascii="宋体" w:hAnsi="宋体" w:eastAsia="宋体" w:cs="Times New Roman"/>
          <w:kern w:val="0"/>
          <w:sz w:val="24"/>
          <w:szCs w:val="24"/>
          <w:lang w:val="zh-CN"/>
        </w:rPr>
      </w:pPr>
      <w:r>
        <w:rPr>
          <w:rFonts w:cs="Times New Roman" w:asciiTheme="minorEastAsia" w:hAnsiTheme="minorEastAsia"/>
          <w:kern w:val="0"/>
          <w:sz w:val="24"/>
          <w:szCs w:val="24"/>
          <w:lang w:val="zh-CN"/>
        </w:rPr>
        <w:t>公司坚持“</w:t>
      </w:r>
      <w:r>
        <w:rPr>
          <w:rFonts w:hint="eastAsia" w:cs="Times New Roman" w:asciiTheme="minorEastAsia" w:hAnsiTheme="minorEastAsia"/>
          <w:kern w:val="0"/>
          <w:sz w:val="24"/>
          <w:szCs w:val="24"/>
          <w:highlight w:val="none"/>
          <w:lang w:val="zh-CN"/>
        </w:rPr>
        <w:t>清洁生产 节能降耗 保护环境 持续发展</w:t>
      </w:r>
      <w:r>
        <w:rPr>
          <w:rFonts w:cs="Times New Roman" w:asciiTheme="minorEastAsia" w:hAnsiTheme="minorEastAsia"/>
          <w:kern w:val="0"/>
          <w:sz w:val="24"/>
          <w:szCs w:val="24"/>
          <w:lang w:val="zh-CN"/>
        </w:rPr>
        <w:t>”的环保方针，通过不断改进技术与工艺</w:t>
      </w:r>
      <w:r>
        <w:rPr>
          <w:rFonts w:hint="eastAsia" w:cs="Times New Roman" w:asciiTheme="minorEastAsia" w:hAnsiTheme="minorEastAsia"/>
          <w:kern w:val="0"/>
          <w:sz w:val="24"/>
          <w:szCs w:val="24"/>
          <w:lang w:val="zh-CN"/>
        </w:rPr>
        <w:t>,更换零部件</w:t>
      </w:r>
      <w:r>
        <w:rPr>
          <w:rFonts w:cs="Times New Roman" w:asciiTheme="minorEastAsia" w:hAnsiTheme="minorEastAsia"/>
          <w:kern w:val="0"/>
          <w:sz w:val="24"/>
          <w:szCs w:val="24"/>
          <w:lang w:val="zh-CN"/>
        </w:rPr>
        <w:t>，强化管理，减少各种废弃物的产生，保证各种污染物达标排放；通过节能降耗，不断提升能源、资源的使用效率；通过加强环保方面的培训，确保每一位员工认知日常工作生活行为对环境的影响</w:t>
      </w:r>
      <w:r>
        <w:rPr>
          <w:rFonts w:ascii="宋体" w:hAnsi="宋体" w:eastAsia="宋体" w:cs="Times New Roman"/>
          <w:kern w:val="0"/>
          <w:sz w:val="24"/>
          <w:szCs w:val="24"/>
          <w:lang w:val="zh-CN"/>
        </w:rPr>
        <w:t>。</w:t>
      </w:r>
    </w:p>
    <w:p>
      <w:pPr>
        <w:spacing w:before="156" w:beforeLines="50" w:after="156" w:afterLines="50" w:line="276" w:lineRule="auto"/>
        <w:outlineLvl w:val="1"/>
        <w:rPr>
          <w:rFonts w:ascii="宋体" w:hAnsi="宋体" w:eastAsia="宋体" w:cs="Times New Roman"/>
          <w:b/>
          <w:sz w:val="24"/>
          <w:szCs w:val="24"/>
        </w:rPr>
      </w:pPr>
      <w:bookmarkStart w:id="38" w:name="_Toc451610902"/>
      <w:bookmarkStart w:id="39" w:name="_Toc451610995"/>
      <w:r>
        <w:rPr>
          <w:rFonts w:hint="eastAsia" w:ascii="宋体" w:hAnsi="宋体" w:eastAsia="宋体" w:cs="Times New Roman"/>
          <w:b/>
          <w:sz w:val="24"/>
          <w:szCs w:val="24"/>
        </w:rPr>
        <w:t>（一）环境保护</w:t>
      </w:r>
      <w:bookmarkEnd w:id="38"/>
      <w:bookmarkEnd w:id="39"/>
    </w:p>
    <w:p>
      <w:pPr>
        <w:spacing w:line="360" w:lineRule="auto"/>
        <w:ind w:firstLine="480" w:firstLineChars="200"/>
        <w:rPr>
          <w:rFonts w:cs="Times New Roman" w:asciiTheme="minorEastAsia" w:hAnsiTheme="minorEastAsia"/>
          <w:kern w:val="0"/>
          <w:sz w:val="24"/>
          <w:szCs w:val="24"/>
          <w:lang w:val="zh-CN"/>
        </w:rPr>
      </w:pPr>
      <w:r>
        <w:rPr>
          <w:rFonts w:cs="Times New Roman" w:asciiTheme="minorEastAsia" w:hAnsiTheme="minorEastAsia"/>
          <w:kern w:val="0"/>
          <w:sz w:val="24"/>
          <w:szCs w:val="24"/>
          <w:lang w:val="zh-CN"/>
        </w:rPr>
        <w:t>公司产品及生产、运营过程对环境污染、社会风险不良影响较小，但公司仍非常重视环境影响控制，严格贯彻国家相关法律法规，颁布并实施了《</w:t>
      </w:r>
      <w:r>
        <w:rPr>
          <w:rFonts w:hint="eastAsia" w:cs="Times New Roman" w:asciiTheme="minorEastAsia" w:hAnsiTheme="minorEastAsia"/>
          <w:kern w:val="0"/>
          <w:sz w:val="24"/>
          <w:szCs w:val="24"/>
          <w:lang w:val="zh-CN"/>
        </w:rPr>
        <w:t>环境因素识别与评价控制程序</w:t>
      </w:r>
      <w:r>
        <w:rPr>
          <w:rFonts w:cs="Times New Roman" w:asciiTheme="minorEastAsia" w:hAnsiTheme="minorEastAsia"/>
          <w:kern w:val="0"/>
          <w:sz w:val="24"/>
          <w:szCs w:val="24"/>
          <w:lang w:val="zh-CN"/>
        </w:rPr>
        <w:t>》</w:t>
      </w:r>
      <w:r>
        <w:rPr>
          <w:rFonts w:hint="eastAsia" w:cs="Times New Roman" w:asciiTheme="minorEastAsia" w:hAnsiTheme="minorEastAsia"/>
          <w:kern w:val="0"/>
          <w:sz w:val="24"/>
          <w:szCs w:val="24"/>
          <w:lang w:val="zh-CN"/>
        </w:rPr>
        <w:t>、《环境、职业健康安全运行控制》</w:t>
      </w:r>
      <w:r>
        <w:rPr>
          <w:rFonts w:cs="Times New Roman" w:asciiTheme="minorEastAsia" w:hAnsiTheme="minorEastAsia"/>
          <w:kern w:val="0"/>
          <w:sz w:val="24"/>
          <w:szCs w:val="24"/>
          <w:lang w:val="zh-CN"/>
        </w:rPr>
        <w:t>等制度和管理办法</w:t>
      </w:r>
      <w:r>
        <w:rPr>
          <w:rFonts w:hint="eastAsia" w:cs="Times New Roman" w:asciiTheme="minorEastAsia" w:hAnsiTheme="minorEastAsia"/>
          <w:kern w:val="0"/>
          <w:sz w:val="24"/>
          <w:szCs w:val="24"/>
          <w:lang w:val="zh-CN"/>
        </w:rPr>
        <w:t>。</w:t>
      </w:r>
    </w:p>
    <w:p>
      <w:pPr>
        <w:pStyle w:val="86"/>
        <w:ind w:firstLine="480"/>
        <w:rPr>
          <w:rFonts w:asciiTheme="minorEastAsia" w:hAnsiTheme="minorEastAsia" w:eastAsiaTheme="minorEastAsia"/>
          <w:bCs w:val="0"/>
          <w:kern w:val="0"/>
          <w:lang w:val="zh-CN"/>
        </w:rPr>
      </w:pPr>
      <w:r>
        <w:rPr>
          <w:rFonts w:hint="eastAsia" w:asciiTheme="minorEastAsia" w:hAnsiTheme="minorEastAsia" w:eastAsiaTheme="minorEastAsia"/>
          <w:bCs w:val="0"/>
          <w:kern w:val="0"/>
          <w:lang w:val="zh-CN"/>
        </w:rPr>
        <w:t>三年来，无环境污染事故，各污染源稳定达标排放，各类环境治理设施运转正常，公司产品的生产过程中不存在重污染的情况，对于生产过程中的废水、废气、固体废弃物和噪音问题，公司已采取了适当的环保措施，对周边环境的影响很小。</w:t>
      </w:r>
    </w:p>
    <w:p>
      <w:pPr>
        <w:spacing w:before="156" w:beforeLines="50" w:after="156" w:afterLines="50" w:line="276" w:lineRule="auto"/>
        <w:outlineLvl w:val="1"/>
        <w:rPr>
          <w:rFonts w:ascii="宋体" w:hAnsi="宋体" w:eastAsia="宋体" w:cs="Times New Roman"/>
          <w:b/>
          <w:sz w:val="24"/>
          <w:szCs w:val="24"/>
        </w:rPr>
      </w:pPr>
      <w:r>
        <w:rPr>
          <w:rFonts w:hint="eastAsia" w:ascii="宋体" w:hAnsi="宋体" w:eastAsia="宋体" w:cs="Times New Roman"/>
          <w:b/>
          <w:sz w:val="24"/>
          <w:szCs w:val="24"/>
        </w:rPr>
        <w:t>（二）道德行为：</w:t>
      </w:r>
    </w:p>
    <w:p>
      <w:pPr>
        <w:pStyle w:val="86"/>
        <w:ind w:firstLine="480"/>
        <w:rPr>
          <w:rFonts w:asciiTheme="minorEastAsia" w:hAnsiTheme="minorEastAsia" w:eastAsiaTheme="minorEastAsia"/>
          <w:bCs w:val="0"/>
          <w:kern w:val="0"/>
          <w:lang w:val="zh-CN"/>
        </w:rPr>
      </w:pPr>
      <w:r>
        <w:rPr>
          <w:rFonts w:hint="eastAsia" w:asciiTheme="minorEastAsia" w:hAnsiTheme="minorEastAsia" w:eastAsiaTheme="minorEastAsia"/>
          <w:bCs w:val="0"/>
          <w:kern w:val="0"/>
          <w:lang w:val="zh-CN"/>
        </w:rPr>
        <w:t>公司在生产经营活动中诚实、守信，获得顾客、供应商、质监、工商、税务等方面的广泛好评。</w:t>
      </w:r>
    </w:p>
    <w:p>
      <w:pPr>
        <w:spacing w:before="156" w:beforeLines="50" w:after="156" w:afterLines="50" w:line="276" w:lineRule="auto"/>
        <w:outlineLvl w:val="1"/>
        <w:rPr>
          <w:rFonts w:ascii="宋体" w:hAnsi="宋体" w:eastAsia="宋体" w:cs="Times New Roman"/>
          <w:b/>
          <w:sz w:val="24"/>
          <w:szCs w:val="24"/>
        </w:rPr>
      </w:pPr>
      <w:r>
        <w:rPr>
          <w:rFonts w:hint="eastAsia" w:ascii="宋体" w:hAnsi="宋体" w:eastAsia="宋体" w:cs="Times New Roman"/>
          <w:b/>
          <w:sz w:val="24"/>
          <w:szCs w:val="24"/>
        </w:rPr>
        <w:t>（三）公益支持：</w:t>
      </w:r>
    </w:p>
    <w:p>
      <w:pPr>
        <w:pStyle w:val="86"/>
        <w:ind w:firstLine="480"/>
        <w:rPr>
          <w:rFonts w:asciiTheme="minorEastAsia" w:hAnsiTheme="minorEastAsia" w:eastAsiaTheme="minorEastAsia"/>
          <w:bCs w:val="0"/>
          <w:color w:val="FF0000"/>
          <w:kern w:val="0"/>
          <w:lang w:val="zh-CN"/>
        </w:rPr>
      </w:pPr>
      <w:r>
        <w:rPr>
          <w:rFonts w:hint="eastAsia" w:asciiTheme="minorEastAsia" w:hAnsiTheme="minorEastAsia" w:eastAsiaTheme="minorEastAsia"/>
          <w:bCs w:val="0"/>
          <w:kern w:val="0"/>
          <w:lang w:val="zh-CN"/>
        </w:rPr>
        <w:t>公司高层领导认为公司的发展和财富的积累来源于社会，企业取得的每一项进步和成效都得益于各级领导的呵护和关心，都离不开社会各界的厚爱和支持。遵循公司“奉献”的价值观以及公司使命，公司坚持回馈社会，认真履行企业的社会责任。公司在注重企业经营的同时，不忘社会责任，积极组织参加各类公益慈善活动。与市、区慈善总会共建慈善基金。</w:t>
      </w:r>
    </w:p>
    <w:tbl>
      <w:tblPr>
        <w:tblStyle w:val="38"/>
        <w:tblW w:w="8150" w:type="dxa"/>
        <w:tblInd w:w="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48"/>
        <w:gridCol w:w="2145"/>
        <w:gridCol w:w="2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3848" w:type="dxa"/>
            <w:shd w:val="clear" w:color="auto" w:fill="auto"/>
            <w:vAlign w:val="center"/>
          </w:tcPr>
          <w:p>
            <w:pPr>
              <w:widowControl/>
              <w:jc w:val="center"/>
              <w:rPr>
                <w:rFonts w:cs="Times New Roman" w:asciiTheme="minorEastAsia" w:hAnsiTheme="minorEastAsia"/>
                <w:kern w:val="0"/>
                <w:sz w:val="24"/>
                <w:szCs w:val="24"/>
                <w:highlight w:val="none"/>
                <w:lang w:val="zh-CN"/>
              </w:rPr>
            </w:pPr>
            <w:r>
              <w:rPr>
                <w:rFonts w:hint="eastAsia" w:cs="Times New Roman" w:asciiTheme="minorEastAsia" w:hAnsiTheme="minorEastAsia"/>
                <w:kern w:val="0"/>
                <w:sz w:val="24"/>
                <w:szCs w:val="24"/>
                <w:highlight w:val="none"/>
                <w:lang w:val="zh-CN"/>
              </w:rPr>
              <w:t>项目</w:t>
            </w:r>
          </w:p>
        </w:tc>
        <w:tc>
          <w:tcPr>
            <w:tcW w:w="2145" w:type="dxa"/>
            <w:shd w:val="clear" w:color="auto" w:fill="auto"/>
            <w:vAlign w:val="center"/>
          </w:tcPr>
          <w:p>
            <w:pPr>
              <w:widowControl/>
              <w:jc w:val="center"/>
              <w:rPr>
                <w:rFonts w:cs="Times New Roman" w:asciiTheme="minorEastAsia" w:hAnsiTheme="minorEastAsia"/>
                <w:kern w:val="0"/>
                <w:sz w:val="24"/>
                <w:szCs w:val="24"/>
                <w:highlight w:val="none"/>
                <w:lang w:val="zh-CN"/>
              </w:rPr>
            </w:pPr>
            <w:r>
              <w:rPr>
                <w:rFonts w:hint="eastAsia" w:cs="Times New Roman" w:asciiTheme="minorEastAsia" w:hAnsiTheme="minorEastAsia"/>
                <w:kern w:val="0"/>
                <w:sz w:val="24"/>
                <w:szCs w:val="24"/>
                <w:highlight w:val="none"/>
                <w:lang w:val="zh-CN"/>
              </w:rPr>
              <w:t>捐赠时间</w:t>
            </w:r>
          </w:p>
        </w:tc>
        <w:tc>
          <w:tcPr>
            <w:tcW w:w="2157" w:type="dxa"/>
            <w:shd w:val="clear" w:color="auto" w:fill="auto"/>
            <w:vAlign w:val="center"/>
          </w:tcPr>
          <w:p>
            <w:pPr>
              <w:widowControl/>
              <w:jc w:val="center"/>
              <w:rPr>
                <w:rFonts w:cs="Times New Roman" w:asciiTheme="minorEastAsia" w:hAnsiTheme="minorEastAsia"/>
                <w:kern w:val="0"/>
                <w:sz w:val="24"/>
                <w:szCs w:val="24"/>
                <w:highlight w:val="none"/>
                <w:lang w:val="zh-CN"/>
              </w:rPr>
            </w:pPr>
            <w:r>
              <w:rPr>
                <w:rFonts w:hint="eastAsia" w:cs="Times New Roman" w:asciiTheme="minorEastAsia" w:hAnsiTheme="minorEastAsia"/>
                <w:kern w:val="0"/>
                <w:sz w:val="24"/>
                <w:szCs w:val="24"/>
                <w:highlight w:val="none"/>
                <w:lang w:val="zh-CN"/>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3848" w:type="dxa"/>
            <w:shd w:val="clear" w:color="auto" w:fill="auto"/>
          </w:tcPr>
          <w:p>
            <w:pPr>
              <w:widowControl/>
              <w:jc w:val="center"/>
              <w:textAlignment w:val="center"/>
              <w:rPr>
                <w:rFonts w:hint="default" w:cs="Times New Roman" w:asciiTheme="minorEastAsia" w:hAnsiTheme="minorEastAsia" w:eastAsiaTheme="minorEastAsia"/>
                <w:kern w:val="0"/>
                <w:sz w:val="24"/>
                <w:szCs w:val="24"/>
                <w:highlight w:val="none"/>
                <w:lang w:val="en-US" w:eastAsia="zh-CN"/>
              </w:rPr>
            </w:pPr>
            <w:r>
              <w:rPr>
                <w:rFonts w:hint="eastAsia"/>
                <w:highlight w:val="none"/>
                <w:lang w:val="en-US" w:eastAsia="zh-CN"/>
              </w:rPr>
              <w:t>疫情捐款</w:t>
            </w:r>
          </w:p>
        </w:tc>
        <w:tc>
          <w:tcPr>
            <w:tcW w:w="2145" w:type="dxa"/>
            <w:shd w:val="clear" w:color="auto" w:fill="auto"/>
          </w:tcPr>
          <w:p>
            <w:pPr>
              <w:widowControl/>
              <w:jc w:val="center"/>
              <w:textAlignment w:val="center"/>
              <w:rPr>
                <w:rFonts w:cs="Times New Roman" w:asciiTheme="minorEastAsia" w:hAnsiTheme="minorEastAsia"/>
                <w:kern w:val="0"/>
                <w:sz w:val="24"/>
                <w:szCs w:val="24"/>
                <w:highlight w:val="none"/>
              </w:rPr>
            </w:pPr>
            <w:r>
              <w:rPr>
                <w:highlight w:val="none"/>
              </w:rPr>
              <w:t>2020</w:t>
            </w:r>
          </w:p>
        </w:tc>
        <w:tc>
          <w:tcPr>
            <w:tcW w:w="2157" w:type="dxa"/>
            <w:shd w:val="clear" w:color="auto" w:fill="auto"/>
          </w:tcPr>
          <w:p>
            <w:pPr>
              <w:widowControl/>
              <w:jc w:val="center"/>
              <w:textAlignment w:val="center"/>
              <w:rPr>
                <w:rFonts w:hint="eastAsia" w:cs="Times New Roman" w:asciiTheme="minorEastAsia" w:hAnsiTheme="minorEastAsia" w:eastAsiaTheme="minorEastAsia"/>
                <w:kern w:val="0"/>
                <w:sz w:val="24"/>
                <w:szCs w:val="24"/>
                <w:highlight w:val="none"/>
                <w:lang w:val="en-US" w:eastAsia="zh-CN"/>
              </w:rPr>
            </w:pPr>
            <w:r>
              <w:rPr>
                <w:highlight w:val="none"/>
              </w:rPr>
              <w:t>20000</w:t>
            </w:r>
            <w:r>
              <w:rPr>
                <w:rFonts w:hint="eastAsia"/>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3848" w:type="dxa"/>
            <w:shd w:val="clear" w:color="auto" w:fill="auto"/>
          </w:tcPr>
          <w:p>
            <w:pPr>
              <w:widowControl/>
              <w:jc w:val="center"/>
              <w:textAlignment w:val="center"/>
              <w:rPr>
                <w:rFonts w:hint="eastAsia"/>
                <w:highlight w:val="none"/>
                <w:lang w:val="en-US" w:eastAsia="zh-CN"/>
              </w:rPr>
            </w:pPr>
            <w:r>
              <w:rPr>
                <w:rFonts w:hint="eastAsia"/>
                <w:highlight w:val="none"/>
                <w:lang w:val="en-US" w:eastAsia="zh-CN"/>
              </w:rPr>
              <w:t>金华市慈善总会捐款</w:t>
            </w:r>
          </w:p>
        </w:tc>
        <w:tc>
          <w:tcPr>
            <w:tcW w:w="2145" w:type="dxa"/>
            <w:shd w:val="clear" w:color="auto" w:fill="auto"/>
          </w:tcPr>
          <w:p>
            <w:pPr>
              <w:widowControl/>
              <w:jc w:val="center"/>
              <w:textAlignment w:val="center"/>
              <w:rPr>
                <w:rFonts w:hint="default" w:eastAsiaTheme="minorEastAsia"/>
                <w:highlight w:val="none"/>
                <w:lang w:val="en-US" w:eastAsia="zh-CN"/>
              </w:rPr>
            </w:pPr>
            <w:r>
              <w:rPr>
                <w:rFonts w:hint="eastAsia"/>
                <w:highlight w:val="none"/>
                <w:lang w:val="en-US" w:eastAsia="zh-CN"/>
              </w:rPr>
              <w:t>2020</w:t>
            </w:r>
          </w:p>
        </w:tc>
        <w:tc>
          <w:tcPr>
            <w:tcW w:w="2157" w:type="dxa"/>
            <w:shd w:val="clear" w:color="auto" w:fill="auto"/>
          </w:tcPr>
          <w:p>
            <w:pPr>
              <w:widowControl/>
              <w:jc w:val="center"/>
              <w:textAlignment w:val="center"/>
              <w:rPr>
                <w:rFonts w:hint="default" w:eastAsiaTheme="minorEastAsia"/>
                <w:highlight w:val="none"/>
                <w:lang w:val="en-US" w:eastAsia="zh-CN"/>
              </w:rPr>
            </w:pPr>
            <w:r>
              <w:rPr>
                <w:rFonts w:hint="eastAsia"/>
                <w:highlight w:val="none"/>
                <w:lang w:val="en-US" w:eastAsia="zh-CN"/>
              </w:rPr>
              <w:t>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3848" w:type="dxa"/>
            <w:shd w:val="clear" w:color="auto" w:fill="auto"/>
          </w:tcPr>
          <w:p>
            <w:pPr>
              <w:widowControl/>
              <w:jc w:val="center"/>
              <w:textAlignment w:val="center"/>
              <w:rPr>
                <w:rFonts w:hint="eastAsia" w:cs="Times New Roman" w:asciiTheme="minorEastAsia" w:hAnsiTheme="minorEastAsia" w:eastAsiaTheme="minorEastAsia"/>
                <w:kern w:val="0"/>
                <w:sz w:val="24"/>
                <w:szCs w:val="24"/>
                <w:highlight w:val="none"/>
                <w:lang w:eastAsia="zh-CN"/>
              </w:rPr>
            </w:pPr>
            <w:r>
              <w:rPr>
                <w:rFonts w:hint="eastAsia"/>
                <w:highlight w:val="none"/>
                <w:lang w:val="en-US" w:eastAsia="zh-CN"/>
              </w:rPr>
              <w:t>疫情捐款</w:t>
            </w:r>
          </w:p>
        </w:tc>
        <w:tc>
          <w:tcPr>
            <w:tcW w:w="2145" w:type="dxa"/>
            <w:shd w:val="clear" w:color="auto" w:fill="auto"/>
          </w:tcPr>
          <w:p>
            <w:pPr>
              <w:widowControl/>
              <w:jc w:val="center"/>
              <w:textAlignment w:val="center"/>
              <w:rPr>
                <w:rFonts w:cs="Times New Roman" w:asciiTheme="minorEastAsia" w:hAnsiTheme="minorEastAsia"/>
                <w:kern w:val="0"/>
                <w:sz w:val="24"/>
                <w:szCs w:val="24"/>
                <w:highlight w:val="none"/>
              </w:rPr>
            </w:pPr>
            <w:r>
              <w:rPr>
                <w:highlight w:val="none"/>
              </w:rPr>
              <w:t>2021</w:t>
            </w:r>
          </w:p>
        </w:tc>
        <w:tc>
          <w:tcPr>
            <w:tcW w:w="2157" w:type="dxa"/>
            <w:shd w:val="clear" w:color="auto" w:fill="auto"/>
          </w:tcPr>
          <w:p>
            <w:pPr>
              <w:widowControl/>
              <w:jc w:val="center"/>
              <w:textAlignment w:val="center"/>
              <w:rPr>
                <w:rFonts w:cs="Times New Roman" w:asciiTheme="minorEastAsia" w:hAnsiTheme="minorEastAsia"/>
                <w:kern w:val="0"/>
                <w:sz w:val="24"/>
                <w:szCs w:val="24"/>
                <w:highlight w:val="none"/>
              </w:rPr>
            </w:pPr>
            <w:r>
              <w:rPr>
                <w:rFonts w:hint="eastAsia"/>
                <w:highlight w:val="none"/>
                <w:lang w:val="en-US" w:eastAsia="zh-CN"/>
              </w:rPr>
              <w:t>15</w:t>
            </w:r>
            <w:r>
              <w:rPr>
                <w:highlight w:val="none"/>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3848" w:type="dxa"/>
            <w:shd w:val="clear" w:color="auto" w:fill="auto"/>
          </w:tcPr>
          <w:p>
            <w:pPr>
              <w:widowControl/>
              <w:jc w:val="center"/>
              <w:textAlignment w:val="center"/>
              <w:rPr>
                <w:rFonts w:hint="default" w:eastAsiaTheme="minorEastAsia"/>
                <w:highlight w:val="none"/>
                <w:lang w:val="en-US" w:eastAsia="zh-CN"/>
              </w:rPr>
            </w:pPr>
            <w:r>
              <w:rPr>
                <w:rFonts w:hint="eastAsia"/>
                <w:highlight w:val="none"/>
                <w:lang w:val="en-US" w:eastAsia="zh-CN"/>
              </w:rPr>
              <w:t>金华市慈善总会捐款</w:t>
            </w:r>
          </w:p>
        </w:tc>
        <w:tc>
          <w:tcPr>
            <w:tcW w:w="2145" w:type="dxa"/>
            <w:shd w:val="clear" w:color="auto" w:fill="auto"/>
          </w:tcPr>
          <w:p>
            <w:pPr>
              <w:widowControl/>
              <w:jc w:val="center"/>
              <w:textAlignment w:val="center"/>
              <w:rPr>
                <w:rFonts w:hint="default" w:eastAsiaTheme="minorEastAsia"/>
                <w:highlight w:val="none"/>
                <w:lang w:val="en-US" w:eastAsia="zh-CN"/>
              </w:rPr>
            </w:pPr>
            <w:r>
              <w:rPr>
                <w:rFonts w:hint="eastAsia"/>
                <w:highlight w:val="none"/>
                <w:lang w:val="en-US" w:eastAsia="zh-CN"/>
              </w:rPr>
              <w:t>2021</w:t>
            </w:r>
          </w:p>
        </w:tc>
        <w:tc>
          <w:tcPr>
            <w:tcW w:w="2157" w:type="dxa"/>
            <w:shd w:val="clear" w:color="auto" w:fill="auto"/>
          </w:tcPr>
          <w:p>
            <w:pPr>
              <w:widowControl/>
              <w:jc w:val="center"/>
              <w:textAlignment w:val="center"/>
              <w:rPr>
                <w:rFonts w:hint="default" w:eastAsiaTheme="minorEastAsia"/>
                <w:highlight w:val="none"/>
                <w:lang w:val="en-US" w:eastAsia="zh-CN"/>
              </w:rPr>
            </w:pPr>
            <w:r>
              <w:rPr>
                <w:rFonts w:hint="eastAsia"/>
                <w:highlight w:val="none"/>
                <w:lang w:val="en-US" w:eastAsia="zh-CN"/>
              </w:rPr>
              <w:t>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3848" w:type="dxa"/>
            <w:shd w:val="clear" w:color="auto" w:fill="auto"/>
          </w:tcPr>
          <w:p>
            <w:pPr>
              <w:widowControl/>
              <w:jc w:val="center"/>
              <w:textAlignment w:val="center"/>
              <w:rPr>
                <w:rFonts w:hint="default"/>
                <w:highlight w:val="none"/>
                <w:lang w:val="en-US" w:eastAsia="zh-CN"/>
              </w:rPr>
            </w:pPr>
            <w:r>
              <w:rPr>
                <w:rFonts w:hint="eastAsia"/>
                <w:highlight w:val="none"/>
                <w:lang w:val="en-US" w:eastAsia="zh-CN"/>
              </w:rPr>
              <w:t>困难员工帮扶</w:t>
            </w:r>
          </w:p>
        </w:tc>
        <w:tc>
          <w:tcPr>
            <w:tcW w:w="2145" w:type="dxa"/>
            <w:shd w:val="clear" w:color="auto" w:fill="auto"/>
          </w:tcPr>
          <w:p>
            <w:pPr>
              <w:widowControl/>
              <w:jc w:val="center"/>
              <w:textAlignment w:val="center"/>
              <w:rPr>
                <w:rFonts w:hint="default"/>
                <w:highlight w:val="none"/>
                <w:lang w:val="en-US" w:eastAsia="zh-CN"/>
              </w:rPr>
            </w:pPr>
            <w:r>
              <w:rPr>
                <w:rFonts w:hint="eastAsia"/>
                <w:highlight w:val="none"/>
                <w:lang w:val="en-US" w:eastAsia="zh-CN"/>
              </w:rPr>
              <w:t>2021</w:t>
            </w:r>
          </w:p>
        </w:tc>
        <w:tc>
          <w:tcPr>
            <w:tcW w:w="2157" w:type="dxa"/>
            <w:shd w:val="clear" w:color="auto" w:fill="auto"/>
          </w:tcPr>
          <w:p>
            <w:pPr>
              <w:widowControl/>
              <w:jc w:val="center"/>
              <w:textAlignment w:val="center"/>
              <w:rPr>
                <w:rFonts w:hint="default"/>
                <w:highlight w:val="none"/>
                <w:lang w:val="en-US" w:eastAsia="zh-CN"/>
              </w:rPr>
            </w:pPr>
            <w:r>
              <w:rPr>
                <w:rFonts w:hint="eastAsia"/>
                <w:highlight w:val="none"/>
                <w:lang w:val="en-US" w:eastAsia="zh-CN"/>
              </w:rPr>
              <w:t>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3848" w:type="dxa"/>
            <w:shd w:val="clear" w:color="auto" w:fill="auto"/>
          </w:tcPr>
          <w:p>
            <w:pPr>
              <w:widowControl/>
              <w:jc w:val="center"/>
              <w:textAlignment w:val="center"/>
              <w:rPr>
                <w:rFonts w:hint="eastAsia"/>
                <w:highlight w:val="none"/>
                <w:lang w:val="en-US" w:eastAsia="zh-CN"/>
              </w:rPr>
            </w:pPr>
            <w:r>
              <w:rPr>
                <w:rFonts w:hint="eastAsia"/>
                <w:highlight w:val="none"/>
                <w:lang w:val="en-US" w:eastAsia="zh-CN"/>
              </w:rPr>
              <w:t>慰问周边老人</w:t>
            </w:r>
          </w:p>
        </w:tc>
        <w:tc>
          <w:tcPr>
            <w:tcW w:w="2145" w:type="dxa"/>
            <w:shd w:val="clear" w:color="auto" w:fill="auto"/>
          </w:tcPr>
          <w:p>
            <w:pPr>
              <w:widowControl/>
              <w:jc w:val="center"/>
              <w:textAlignment w:val="center"/>
              <w:rPr>
                <w:rFonts w:hint="default"/>
                <w:highlight w:val="none"/>
                <w:lang w:val="en-US" w:eastAsia="zh-CN"/>
              </w:rPr>
            </w:pPr>
            <w:r>
              <w:rPr>
                <w:rFonts w:hint="eastAsia"/>
                <w:highlight w:val="none"/>
                <w:lang w:val="en-US" w:eastAsia="zh-CN"/>
              </w:rPr>
              <w:t>2021</w:t>
            </w:r>
          </w:p>
        </w:tc>
        <w:tc>
          <w:tcPr>
            <w:tcW w:w="2157" w:type="dxa"/>
            <w:shd w:val="clear" w:color="auto" w:fill="auto"/>
          </w:tcPr>
          <w:p>
            <w:pPr>
              <w:widowControl/>
              <w:jc w:val="center"/>
              <w:textAlignment w:val="center"/>
              <w:rPr>
                <w:rFonts w:hint="default"/>
                <w:highlight w:val="none"/>
                <w:lang w:val="en-US" w:eastAsia="zh-CN"/>
              </w:rPr>
            </w:pPr>
            <w:r>
              <w:rPr>
                <w:rFonts w:hint="eastAsia"/>
                <w:highlight w:val="none"/>
                <w:lang w:val="en-US" w:eastAsia="zh-CN"/>
              </w:rPr>
              <w:t>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3848" w:type="dxa"/>
            <w:shd w:val="clear" w:color="auto" w:fill="auto"/>
          </w:tcPr>
          <w:p>
            <w:pPr>
              <w:widowControl/>
              <w:jc w:val="center"/>
              <w:textAlignment w:val="center"/>
              <w:rPr>
                <w:rFonts w:hint="default" w:cs="Times New Roman" w:asciiTheme="minorEastAsia" w:hAnsiTheme="minorEastAsia" w:eastAsiaTheme="minorEastAsia"/>
                <w:kern w:val="0"/>
                <w:sz w:val="24"/>
                <w:szCs w:val="24"/>
                <w:highlight w:val="none"/>
                <w:lang w:val="en-US" w:eastAsia="zh-CN"/>
              </w:rPr>
            </w:pPr>
            <w:r>
              <w:rPr>
                <w:rFonts w:hint="eastAsia"/>
                <w:highlight w:val="none"/>
                <w:lang w:val="en-US" w:eastAsia="zh-CN"/>
              </w:rPr>
              <w:t>疫情捐款</w:t>
            </w:r>
          </w:p>
        </w:tc>
        <w:tc>
          <w:tcPr>
            <w:tcW w:w="2145" w:type="dxa"/>
            <w:shd w:val="clear" w:color="auto" w:fill="auto"/>
          </w:tcPr>
          <w:p>
            <w:pPr>
              <w:widowControl/>
              <w:jc w:val="center"/>
              <w:textAlignment w:val="center"/>
              <w:rPr>
                <w:rFonts w:cs="Times New Roman" w:asciiTheme="minorEastAsia" w:hAnsiTheme="minorEastAsia"/>
                <w:kern w:val="0"/>
                <w:sz w:val="24"/>
                <w:szCs w:val="24"/>
                <w:highlight w:val="none"/>
              </w:rPr>
            </w:pPr>
            <w:r>
              <w:rPr>
                <w:rFonts w:hint="eastAsia"/>
                <w:highlight w:val="none"/>
              </w:rPr>
              <w:t>2022</w:t>
            </w:r>
          </w:p>
        </w:tc>
        <w:tc>
          <w:tcPr>
            <w:tcW w:w="2157" w:type="dxa"/>
            <w:shd w:val="clear" w:color="auto" w:fill="auto"/>
          </w:tcPr>
          <w:p>
            <w:pPr>
              <w:widowControl/>
              <w:jc w:val="center"/>
              <w:textAlignment w:val="center"/>
              <w:rPr>
                <w:rFonts w:hint="eastAsia" w:cs="Times New Roman" w:asciiTheme="minorEastAsia" w:hAnsiTheme="minorEastAsia" w:eastAsiaTheme="minorEastAsia"/>
                <w:kern w:val="0"/>
                <w:sz w:val="24"/>
                <w:szCs w:val="24"/>
                <w:highlight w:val="none"/>
                <w:lang w:val="en-US" w:eastAsia="zh-CN"/>
              </w:rPr>
            </w:pPr>
            <w:r>
              <w:rPr>
                <w:rFonts w:hint="eastAsia"/>
                <w:highlight w:val="none"/>
                <w:lang w:val="en-US" w:eastAsia="zh-CN"/>
              </w:rPr>
              <w:t>1</w:t>
            </w:r>
            <w:r>
              <w:rPr>
                <w:highlight w:val="none"/>
              </w:rPr>
              <w:t>5000</w:t>
            </w:r>
            <w:r>
              <w:rPr>
                <w:rFonts w:hint="eastAsia"/>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3848" w:type="dxa"/>
            <w:shd w:val="clear" w:color="auto" w:fill="auto"/>
          </w:tcPr>
          <w:p>
            <w:pPr>
              <w:widowControl/>
              <w:jc w:val="center"/>
              <w:textAlignment w:val="center"/>
              <w:rPr>
                <w:rFonts w:hint="default" w:eastAsiaTheme="minorEastAsia"/>
                <w:highlight w:val="none"/>
                <w:lang w:val="en-US" w:eastAsia="zh-CN"/>
              </w:rPr>
            </w:pPr>
            <w:r>
              <w:rPr>
                <w:rFonts w:hint="eastAsia"/>
                <w:highlight w:val="none"/>
                <w:lang w:val="en-US" w:eastAsia="zh-CN"/>
              </w:rPr>
              <w:t>慈善总会公益捐赠</w:t>
            </w:r>
          </w:p>
        </w:tc>
        <w:tc>
          <w:tcPr>
            <w:tcW w:w="2145" w:type="dxa"/>
            <w:shd w:val="clear" w:color="auto" w:fill="auto"/>
          </w:tcPr>
          <w:p>
            <w:pPr>
              <w:widowControl/>
              <w:jc w:val="center"/>
              <w:textAlignment w:val="center"/>
              <w:rPr>
                <w:rFonts w:hint="default" w:eastAsiaTheme="minorEastAsia"/>
                <w:highlight w:val="none"/>
                <w:lang w:val="en-US" w:eastAsia="zh-CN"/>
              </w:rPr>
            </w:pPr>
            <w:r>
              <w:rPr>
                <w:rFonts w:hint="eastAsia"/>
                <w:highlight w:val="none"/>
                <w:lang w:val="en-US" w:eastAsia="zh-CN"/>
              </w:rPr>
              <w:t>2022</w:t>
            </w:r>
          </w:p>
        </w:tc>
        <w:tc>
          <w:tcPr>
            <w:tcW w:w="2157" w:type="dxa"/>
            <w:shd w:val="clear" w:color="auto" w:fill="auto"/>
          </w:tcPr>
          <w:p>
            <w:pPr>
              <w:widowControl/>
              <w:jc w:val="center"/>
              <w:textAlignment w:val="center"/>
              <w:rPr>
                <w:rFonts w:hint="default" w:eastAsiaTheme="minorEastAsia"/>
                <w:highlight w:val="none"/>
                <w:lang w:val="en-US" w:eastAsia="zh-CN"/>
              </w:rPr>
            </w:pPr>
            <w:r>
              <w:rPr>
                <w:rFonts w:hint="eastAsia"/>
                <w:highlight w:val="none"/>
                <w:lang w:val="en-US" w:eastAsia="zh-CN"/>
              </w:rPr>
              <w:t>100000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3848" w:type="dxa"/>
            <w:shd w:val="clear" w:color="auto" w:fill="auto"/>
            <w:vAlign w:val="top"/>
          </w:tcPr>
          <w:p>
            <w:pPr>
              <w:widowControl/>
              <w:jc w:val="center"/>
              <w:textAlignment w:val="center"/>
              <w:rPr>
                <w:rFonts w:hint="eastAsia"/>
                <w:highlight w:val="none"/>
                <w:lang w:val="en-US" w:eastAsia="zh-CN"/>
              </w:rPr>
            </w:pPr>
            <w:r>
              <w:rPr>
                <w:rFonts w:hint="eastAsia"/>
                <w:highlight w:val="none"/>
                <w:lang w:val="en-US" w:eastAsia="zh-CN"/>
              </w:rPr>
              <w:t>慰问周边老人</w:t>
            </w:r>
          </w:p>
        </w:tc>
        <w:tc>
          <w:tcPr>
            <w:tcW w:w="2145" w:type="dxa"/>
            <w:shd w:val="clear" w:color="auto" w:fill="auto"/>
            <w:vAlign w:val="top"/>
          </w:tcPr>
          <w:p>
            <w:pPr>
              <w:widowControl/>
              <w:jc w:val="center"/>
              <w:textAlignment w:val="center"/>
              <w:rPr>
                <w:rFonts w:hint="eastAsia"/>
                <w:highlight w:val="none"/>
                <w:lang w:val="en-US" w:eastAsia="zh-CN"/>
              </w:rPr>
            </w:pPr>
            <w:r>
              <w:rPr>
                <w:rFonts w:hint="eastAsia"/>
                <w:highlight w:val="none"/>
                <w:lang w:val="en-US" w:eastAsia="zh-CN"/>
              </w:rPr>
              <w:t>2022</w:t>
            </w:r>
          </w:p>
        </w:tc>
        <w:tc>
          <w:tcPr>
            <w:tcW w:w="2157" w:type="dxa"/>
            <w:shd w:val="clear" w:color="auto" w:fill="auto"/>
            <w:vAlign w:val="top"/>
          </w:tcPr>
          <w:p>
            <w:pPr>
              <w:widowControl/>
              <w:jc w:val="center"/>
              <w:textAlignment w:val="center"/>
              <w:rPr>
                <w:rFonts w:hint="eastAsia"/>
                <w:highlight w:val="none"/>
                <w:lang w:val="en-US" w:eastAsia="zh-CN"/>
              </w:rPr>
            </w:pPr>
            <w:r>
              <w:rPr>
                <w:rFonts w:hint="eastAsia"/>
                <w:highlight w:val="none"/>
                <w:lang w:val="en-US" w:eastAsia="zh-CN"/>
              </w:rPr>
              <w:t>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3848" w:type="dxa"/>
            <w:shd w:val="clear" w:color="auto" w:fill="auto"/>
            <w:vAlign w:val="top"/>
          </w:tcPr>
          <w:p>
            <w:pPr>
              <w:widowControl/>
              <w:jc w:val="center"/>
              <w:textAlignment w:val="center"/>
              <w:rPr>
                <w:rFonts w:hint="eastAsia"/>
                <w:highlight w:val="none"/>
                <w:lang w:val="en-US" w:eastAsia="zh-CN"/>
              </w:rPr>
            </w:pPr>
            <w:r>
              <w:rPr>
                <w:rFonts w:hint="eastAsia"/>
                <w:highlight w:val="none"/>
                <w:lang w:val="en-US" w:eastAsia="zh-CN"/>
              </w:rPr>
              <w:t>贫困学生结对帮扶</w:t>
            </w:r>
          </w:p>
        </w:tc>
        <w:tc>
          <w:tcPr>
            <w:tcW w:w="2145" w:type="dxa"/>
            <w:shd w:val="clear" w:color="auto" w:fill="auto"/>
            <w:vAlign w:val="top"/>
          </w:tcPr>
          <w:p>
            <w:pPr>
              <w:widowControl/>
              <w:jc w:val="center"/>
              <w:textAlignment w:val="center"/>
              <w:rPr>
                <w:rFonts w:hint="default"/>
                <w:highlight w:val="none"/>
                <w:lang w:val="en-US" w:eastAsia="zh-CN"/>
              </w:rPr>
            </w:pPr>
            <w:r>
              <w:rPr>
                <w:rFonts w:hint="eastAsia"/>
                <w:highlight w:val="none"/>
                <w:lang w:val="en-US" w:eastAsia="zh-CN"/>
              </w:rPr>
              <w:t>2023</w:t>
            </w:r>
          </w:p>
        </w:tc>
        <w:tc>
          <w:tcPr>
            <w:tcW w:w="2157" w:type="dxa"/>
            <w:shd w:val="clear" w:color="auto" w:fill="auto"/>
            <w:vAlign w:val="top"/>
          </w:tcPr>
          <w:p>
            <w:pPr>
              <w:widowControl/>
              <w:jc w:val="center"/>
              <w:textAlignment w:val="center"/>
              <w:rPr>
                <w:rFonts w:hint="default"/>
                <w:highlight w:val="none"/>
                <w:lang w:val="en-US" w:eastAsia="zh-CN"/>
              </w:rPr>
            </w:pPr>
            <w:r>
              <w:rPr>
                <w:rFonts w:hint="eastAsia"/>
                <w:highlight w:val="none"/>
                <w:lang w:val="en-US" w:eastAsia="zh-CN"/>
              </w:rPr>
              <w:t>60000</w:t>
            </w:r>
          </w:p>
        </w:tc>
      </w:tr>
    </w:tbl>
    <w:p>
      <w:pPr>
        <w:spacing w:line="360" w:lineRule="auto"/>
        <w:ind w:firstLine="480" w:firstLineChars="200"/>
        <w:rPr>
          <w:rFonts w:cs="Times New Roman" w:asciiTheme="minorEastAsia" w:hAnsiTheme="minorEastAsia"/>
          <w:kern w:val="0"/>
          <w:sz w:val="24"/>
          <w:szCs w:val="24"/>
        </w:rPr>
      </w:pPr>
      <w:bookmarkStart w:id="40" w:name="_GoBack"/>
      <w:bookmarkEnd w:id="4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Helvetica-Narrow">
    <w:altName w:val="Segoe Print"/>
    <w:panose1 w:val="00000000000000000000"/>
    <w:charset w:val="00"/>
    <w:family w:val="swiss"/>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left"/>
    </w:pPr>
    <w:r>
      <w:drawing>
        <wp:anchor distT="0" distB="0" distL="114300" distR="114300" simplePos="0" relativeHeight="251659264" behindDoc="0" locked="0" layoutInCell="1" allowOverlap="1">
          <wp:simplePos x="0" y="0"/>
          <wp:positionH relativeFrom="column">
            <wp:posOffset>9525</wp:posOffset>
          </wp:positionH>
          <wp:positionV relativeFrom="paragraph">
            <wp:posOffset>-511810</wp:posOffset>
          </wp:positionV>
          <wp:extent cx="2279015" cy="647700"/>
          <wp:effectExtent l="0" t="0" r="6985" b="0"/>
          <wp:wrapTopAndBottom/>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
                  <a:stretch>
                    <a:fillRect/>
                  </a:stretch>
                </pic:blipFill>
                <pic:spPr>
                  <a:xfrm>
                    <a:off x="0" y="0"/>
                    <a:ext cx="2279015" cy="64770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600DDC"/>
    <w:multiLevelType w:val="multilevel"/>
    <w:tmpl w:val="04600DDC"/>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zZjc4MGQ1ODJmNzEzNzUyZjRiZWM3ZWVjYjRhYmIifQ=="/>
  </w:docVars>
  <w:rsids>
    <w:rsidRoot w:val="00CD5536"/>
    <w:rsid w:val="000001E5"/>
    <w:rsid w:val="00004397"/>
    <w:rsid w:val="00036A7A"/>
    <w:rsid w:val="000437A1"/>
    <w:rsid w:val="000519DC"/>
    <w:rsid w:val="00061BED"/>
    <w:rsid w:val="00066D0C"/>
    <w:rsid w:val="00074BC1"/>
    <w:rsid w:val="00093D9A"/>
    <w:rsid w:val="000A795F"/>
    <w:rsid w:val="000B28B4"/>
    <w:rsid w:val="000C3B69"/>
    <w:rsid w:val="000F2948"/>
    <w:rsid w:val="001019A7"/>
    <w:rsid w:val="00116ECF"/>
    <w:rsid w:val="00131595"/>
    <w:rsid w:val="00131935"/>
    <w:rsid w:val="001420F3"/>
    <w:rsid w:val="00160BF9"/>
    <w:rsid w:val="00165DCC"/>
    <w:rsid w:val="00175458"/>
    <w:rsid w:val="00186145"/>
    <w:rsid w:val="00192A5B"/>
    <w:rsid w:val="001A32F1"/>
    <w:rsid w:val="001B02FB"/>
    <w:rsid w:val="001B196B"/>
    <w:rsid w:val="001B327D"/>
    <w:rsid w:val="001F2219"/>
    <w:rsid w:val="001F317C"/>
    <w:rsid w:val="0020185A"/>
    <w:rsid w:val="00205BD5"/>
    <w:rsid w:val="00213334"/>
    <w:rsid w:val="00225468"/>
    <w:rsid w:val="00233AAC"/>
    <w:rsid w:val="00234E6C"/>
    <w:rsid w:val="00241399"/>
    <w:rsid w:val="0024604C"/>
    <w:rsid w:val="0026728E"/>
    <w:rsid w:val="00271BCA"/>
    <w:rsid w:val="002827AB"/>
    <w:rsid w:val="002B6B4E"/>
    <w:rsid w:val="002B7810"/>
    <w:rsid w:val="002E6A2A"/>
    <w:rsid w:val="003206A1"/>
    <w:rsid w:val="003209F3"/>
    <w:rsid w:val="0032148A"/>
    <w:rsid w:val="00330422"/>
    <w:rsid w:val="00332A23"/>
    <w:rsid w:val="00351384"/>
    <w:rsid w:val="003573D2"/>
    <w:rsid w:val="00372A7B"/>
    <w:rsid w:val="00377118"/>
    <w:rsid w:val="00385FB5"/>
    <w:rsid w:val="00386BDB"/>
    <w:rsid w:val="00390B1F"/>
    <w:rsid w:val="00397853"/>
    <w:rsid w:val="003A71A7"/>
    <w:rsid w:val="003C2E66"/>
    <w:rsid w:val="003C2FB7"/>
    <w:rsid w:val="003C7121"/>
    <w:rsid w:val="003D1D51"/>
    <w:rsid w:val="003F0C1A"/>
    <w:rsid w:val="003F5A4E"/>
    <w:rsid w:val="004313BF"/>
    <w:rsid w:val="004432F6"/>
    <w:rsid w:val="00463CC3"/>
    <w:rsid w:val="0046415E"/>
    <w:rsid w:val="00470384"/>
    <w:rsid w:val="004839EA"/>
    <w:rsid w:val="00485095"/>
    <w:rsid w:val="004978CF"/>
    <w:rsid w:val="00497E69"/>
    <w:rsid w:val="004A06E6"/>
    <w:rsid w:val="004A2F45"/>
    <w:rsid w:val="004A33D9"/>
    <w:rsid w:val="004A48E7"/>
    <w:rsid w:val="004B21B4"/>
    <w:rsid w:val="00500BC0"/>
    <w:rsid w:val="00513B35"/>
    <w:rsid w:val="005177C0"/>
    <w:rsid w:val="00520B5A"/>
    <w:rsid w:val="00522730"/>
    <w:rsid w:val="00554B93"/>
    <w:rsid w:val="00555AC2"/>
    <w:rsid w:val="005731F9"/>
    <w:rsid w:val="005A5A6F"/>
    <w:rsid w:val="005C7BEC"/>
    <w:rsid w:val="005E4FF8"/>
    <w:rsid w:val="005E6966"/>
    <w:rsid w:val="00603844"/>
    <w:rsid w:val="00607872"/>
    <w:rsid w:val="00634892"/>
    <w:rsid w:val="00637B07"/>
    <w:rsid w:val="00662C24"/>
    <w:rsid w:val="006644E1"/>
    <w:rsid w:val="00667FBF"/>
    <w:rsid w:val="00671E41"/>
    <w:rsid w:val="0067240D"/>
    <w:rsid w:val="00686622"/>
    <w:rsid w:val="00693DCA"/>
    <w:rsid w:val="00695157"/>
    <w:rsid w:val="006976A4"/>
    <w:rsid w:val="006C19F4"/>
    <w:rsid w:val="006D6DA2"/>
    <w:rsid w:val="006F0218"/>
    <w:rsid w:val="006F6F50"/>
    <w:rsid w:val="00703B80"/>
    <w:rsid w:val="00714A72"/>
    <w:rsid w:val="00714C31"/>
    <w:rsid w:val="00716577"/>
    <w:rsid w:val="00726209"/>
    <w:rsid w:val="00730453"/>
    <w:rsid w:val="00730A7E"/>
    <w:rsid w:val="00736DA1"/>
    <w:rsid w:val="0074218E"/>
    <w:rsid w:val="00767175"/>
    <w:rsid w:val="00773139"/>
    <w:rsid w:val="0078520C"/>
    <w:rsid w:val="00793FD8"/>
    <w:rsid w:val="007941C9"/>
    <w:rsid w:val="007949D8"/>
    <w:rsid w:val="007B023F"/>
    <w:rsid w:val="007B1A38"/>
    <w:rsid w:val="007C2C6E"/>
    <w:rsid w:val="007D3629"/>
    <w:rsid w:val="007D5576"/>
    <w:rsid w:val="007F6C94"/>
    <w:rsid w:val="0081344C"/>
    <w:rsid w:val="00821886"/>
    <w:rsid w:val="00824AF2"/>
    <w:rsid w:val="00880AAF"/>
    <w:rsid w:val="008840F8"/>
    <w:rsid w:val="008B0FC2"/>
    <w:rsid w:val="008B2A22"/>
    <w:rsid w:val="008B7331"/>
    <w:rsid w:val="008C5277"/>
    <w:rsid w:val="008D6DB7"/>
    <w:rsid w:val="008E1E6C"/>
    <w:rsid w:val="008E58E6"/>
    <w:rsid w:val="008E7DC2"/>
    <w:rsid w:val="008F527C"/>
    <w:rsid w:val="00902A23"/>
    <w:rsid w:val="009112BB"/>
    <w:rsid w:val="009159C5"/>
    <w:rsid w:val="00930314"/>
    <w:rsid w:val="009445A8"/>
    <w:rsid w:val="009451F3"/>
    <w:rsid w:val="0094693B"/>
    <w:rsid w:val="00951B16"/>
    <w:rsid w:val="00966680"/>
    <w:rsid w:val="00967D4A"/>
    <w:rsid w:val="009811C7"/>
    <w:rsid w:val="00992744"/>
    <w:rsid w:val="00993141"/>
    <w:rsid w:val="00995750"/>
    <w:rsid w:val="009A0384"/>
    <w:rsid w:val="009B03B7"/>
    <w:rsid w:val="009B3814"/>
    <w:rsid w:val="009B768C"/>
    <w:rsid w:val="009C69CA"/>
    <w:rsid w:val="009F0B5B"/>
    <w:rsid w:val="009F5B39"/>
    <w:rsid w:val="009F7CA5"/>
    <w:rsid w:val="009F7FA0"/>
    <w:rsid w:val="00A13169"/>
    <w:rsid w:val="00A30274"/>
    <w:rsid w:val="00A31629"/>
    <w:rsid w:val="00A322BA"/>
    <w:rsid w:val="00A34090"/>
    <w:rsid w:val="00A35D62"/>
    <w:rsid w:val="00A41920"/>
    <w:rsid w:val="00A56B47"/>
    <w:rsid w:val="00A8779C"/>
    <w:rsid w:val="00AA448C"/>
    <w:rsid w:val="00AB1974"/>
    <w:rsid w:val="00AD39C9"/>
    <w:rsid w:val="00AE5531"/>
    <w:rsid w:val="00B1748F"/>
    <w:rsid w:val="00B17748"/>
    <w:rsid w:val="00B355F3"/>
    <w:rsid w:val="00B41AA4"/>
    <w:rsid w:val="00B427E6"/>
    <w:rsid w:val="00B4338E"/>
    <w:rsid w:val="00B575F2"/>
    <w:rsid w:val="00B65A19"/>
    <w:rsid w:val="00B7013E"/>
    <w:rsid w:val="00B71BB6"/>
    <w:rsid w:val="00B754F0"/>
    <w:rsid w:val="00B81A74"/>
    <w:rsid w:val="00B9573E"/>
    <w:rsid w:val="00BA0555"/>
    <w:rsid w:val="00BA5798"/>
    <w:rsid w:val="00BB2768"/>
    <w:rsid w:val="00BB6438"/>
    <w:rsid w:val="00BD23D5"/>
    <w:rsid w:val="00BE0ABD"/>
    <w:rsid w:val="00BF1E02"/>
    <w:rsid w:val="00BF63C4"/>
    <w:rsid w:val="00C0783F"/>
    <w:rsid w:val="00C115CE"/>
    <w:rsid w:val="00C11EF1"/>
    <w:rsid w:val="00C31A46"/>
    <w:rsid w:val="00C50E39"/>
    <w:rsid w:val="00C5360B"/>
    <w:rsid w:val="00C60A8D"/>
    <w:rsid w:val="00C62CC5"/>
    <w:rsid w:val="00C72D50"/>
    <w:rsid w:val="00C75F8D"/>
    <w:rsid w:val="00C76CCB"/>
    <w:rsid w:val="00C93C36"/>
    <w:rsid w:val="00CC6321"/>
    <w:rsid w:val="00CC6FE8"/>
    <w:rsid w:val="00CD5536"/>
    <w:rsid w:val="00CD5A41"/>
    <w:rsid w:val="00CD6E6A"/>
    <w:rsid w:val="00CE1D3F"/>
    <w:rsid w:val="00CE52C8"/>
    <w:rsid w:val="00CE73FD"/>
    <w:rsid w:val="00CF5AE9"/>
    <w:rsid w:val="00D0108B"/>
    <w:rsid w:val="00D43FE8"/>
    <w:rsid w:val="00D56F1C"/>
    <w:rsid w:val="00D76656"/>
    <w:rsid w:val="00D77F15"/>
    <w:rsid w:val="00D82A94"/>
    <w:rsid w:val="00D9534E"/>
    <w:rsid w:val="00D958DE"/>
    <w:rsid w:val="00DA3FF1"/>
    <w:rsid w:val="00DB20BC"/>
    <w:rsid w:val="00DC004C"/>
    <w:rsid w:val="00DE2DFB"/>
    <w:rsid w:val="00DE4754"/>
    <w:rsid w:val="00DE740A"/>
    <w:rsid w:val="00DF2F12"/>
    <w:rsid w:val="00E1560D"/>
    <w:rsid w:val="00E23FAD"/>
    <w:rsid w:val="00E52188"/>
    <w:rsid w:val="00E560FF"/>
    <w:rsid w:val="00E604FE"/>
    <w:rsid w:val="00E6678F"/>
    <w:rsid w:val="00EA43FF"/>
    <w:rsid w:val="00EC5685"/>
    <w:rsid w:val="00ED47AF"/>
    <w:rsid w:val="00EE5B7C"/>
    <w:rsid w:val="00EF7FEC"/>
    <w:rsid w:val="00F02061"/>
    <w:rsid w:val="00F14681"/>
    <w:rsid w:val="00F5032E"/>
    <w:rsid w:val="00F641B3"/>
    <w:rsid w:val="00F72C6E"/>
    <w:rsid w:val="00F73F58"/>
    <w:rsid w:val="00F93977"/>
    <w:rsid w:val="00FA38C3"/>
    <w:rsid w:val="00FC3183"/>
    <w:rsid w:val="01915353"/>
    <w:rsid w:val="03AF34A2"/>
    <w:rsid w:val="05205355"/>
    <w:rsid w:val="060374E1"/>
    <w:rsid w:val="099C3C23"/>
    <w:rsid w:val="0E92577A"/>
    <w:rsid w:val="14972700"/>
    <w:rsid w:val="15E4163C"/>
    <w:rsid w:val="1E0E710D"/>
    <w:rsid w:val="1FE32AA5"/>
    <w:rsid w:val="223775AC"/>
    <w:rsid w:val="23DB1D7E"/>
    <w:rsid w:val="260B328E"/>
    <w:rsid w:val="277B0325"/>
    <w:rsid w:val="28C07367"/>
    <w:rsid w:val="2E5A64A6"/>
    <w:rsid w:val="2F91426B"/>
    <w:rsid w:val="31726B84"/>
    <w:rsid w:val="48D811F5"/>
    <w:rsid w:val="4E5A19FE"/>
    <w:rsid w:val="4E6363ED"/>
    <w:rsid w:val="4EAD3C28"/>
    <w:rsid w:val="52631F37"/>
    <w:rsid w:val="5965519C"/>
    <w:rsid w:val="5F7610AD"/>
    <w:rsid w:val="6428097A"/>
    <w:rsid w:val="69D13148"/>
    <w:rsid w:val="6C45775B"/>
    <w:rsid w:val="6FA33B19"/>
    <w:rsid w:val="732F36FA"/>
    <w:rsid w:val="75332B1D"/>
    <w:rsid w:val="783E7254"/>
    <w:rsid w:val="78746025"/>
    <w:rsid w:val="7A9622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iPriority="9" w:semiHidden="0" w:name="heading 6"/>
    <w:lsdException w:qFormat="1" w:uiPriority="9" w:semiHidden="0"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qFormat="1" w:uiPriority="99" w:semiHidden="0" w:name="endnote reference"/>
    <w:lsdException w:qFormat="1" w:uiPriority="99" w:semiHidden="0" w:name="endnote text"/>
    <w:lsdException w:uiPriority="99" w:name="table of authorities"/>
    <w:lsdException w:uiPriority="99" w:name="macro"/>
    <w:lsdException w:qFormat="1" w:unhideWhenUsed="0" w:uiPriority="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qFormat="1" w:unhideWhenUsed="0" w:uiPriority="0" w:semiHidden="0"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qFormat="1" w:unhideWhenUsed="0" w:uiPriority="99" w:semiHidden="0" w:name="Date"/>
    <w:lsdException w:uiPriority="99" w:name="Body Text First Indent"/>
    <w:lsdException w:uiPriority="99" w:name="Body Text First Indent 2"/>
    <w:lsdException w:qFormat="1" w:unhideWhenUsed="0" w:uiPriority="99" w:semiHidden="0"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5"/>
    <w:autoRedefine/>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57"/>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58"/>
    <w:autoRedefine/>
    <w:qFormat/>
    <w:uiPriority w:val="9"/>
    <w:pPr>
      <w:keepNext/>
      <w:keepLines/>
      <w:spacing w:before="60" w:after="60"/>
      <w:outlineLvl w:val="2"/>
    </w:pPr>
    <w:rPr>
      <w:rFonts w:ascii="Calibri" w:hAnsi="Calibri" w:eastAsia="宋体" w:cs="Times New Roman"/>
      <w:b/>
      <w:bCs/>
      <w:szCs w:val="32"/>
    </w:rPr>
  </w:style>
  <w:style w:type="paragraph" w:styleId="5">
    <w:name w:val="heading 4"/>
    <w:basedOn w:val="1"/>
    <w:next w:val="1"/>
    <w:link w:val="59"/>
    <w:autoRedefine/>
    <w:qFormat/>
    <w:uiPriority w:val="9"/>
    <w:pPr>
      <w:keepNext/>
      <w:keepLines/>
      <w:spacing w:before="60" w:after="60"/>
      <w:outlineLvl w:val="3"/>
    </w:pPr>
    <w:rPr>
      <w:rFonts w:ascii="Cambria" w:hAnsi="Cambria" w:eastAsia="宋体" w:cs="Times New Roman"/>
      <w:b/>
      <w:bCs/>
      <w:szCs w:val="28"/>
    </w:rPr>
  </w:style>
  <w:style w:type="paragraph" w:styleId="6">
    <w:name w:val="heading 5"/>
    <w:basedOn w:val="1"/>
    <w:next w:val="1"/>
    <w:link w:val="60"/>
    <w:autoRedefine/>
    <w:qFormat/>
    <w:uiPriority w:val="9"/>
    <w:pPr>
      <w:keepNext/>
      <w:keepLines/>
      <w:spacing w:before="60" w:after="60"/>
      <w:outlineLvl w:val="4"/>
    </w:pPr>
    <w:rPr>
      <w:rFonts w:ascii="Calibri" w:hAnsi="Calibri" w:eastAsia="宋体" w:cs="Times New Roman"/>
      <w:b/>
      <w:bCs/>
      <w:szCs w:val="28"/>
    </w:rPr>
  </w:style>
  <w:style w:type="paragraph" w:styleId="7">
    <w:name w:val="heading 6"/>
    <w:basedOn w:val="1"/>
    <w:next w:val="1"/>
    <w:link w:val="61"/>
    <w:unhideWhenUsed/>
    <w:qFormat/>
    <w:uiPriority w:val="9"/>
    <w:pPr>
      <w:keepNext/>
      <w:keepLines/>
      <w:widowControl/>
      <w:spacing w:before="60" w:after="60"/>
      <w:jc w:val="left"/>
      <w:outlineLvl w:val="5"/>
    </w:pPr>
    <w:rPr>
      <w:rFonts w:eastAsia="宋体" w:asciiTheme="majorHAnsi" w:hAnsiTheme="majorHAnsi" w:cstheme="majorBidi"/>
      <w:b/>
      <w:bCs/>
      <w:kern w:val="0"/>
      <w:szCs w:val="24"/>
    </w:rPr>
  </w:style>
  <w:style w:type="paragraph" w:styleId="8">
    <w:name w:val="heading 7"/>
    <w:basedOn w:val="1"/>
    <w:next w:val="1"/>
    <w:link w:val="62"/>
    <w:unhideWhenUsed/>
    <w:qFormat/>
    <w:uiPriority w:val="9"/>
    <w:pPr>
      <w:keepNext/>
      <w:keepLines/>
      <w:widowControl/>
      <w:spacing w:before="240" w:after="64" w:line="320" w:lineRule="auto"/>
      <w:jc w:val="left"/>
      <w:outlineLvl w:val="6"/>
    </w:pPr>
    <w:rPr>
      <w:rFonts w:ascii="宋体" w:hAnsi="宋体" w:eastAsia="宋体" w:cs="宋体"/>
      <w:b/>
      <w:bCs/>
      <w:kern w:val="0"/>
      <w:sz w:val="24"/>
      <w:szCs w:val="24"/>
    </w:rPr>
  </w:style>
  <w:style w:type="character" w:default="1" w:styleId="40">
    <w:name w:val="Default Paragraph Font"/>
    <w:semiHidden/>
    <w:unhideWhenUsed/>
    <w:qFormat/>
    <w:uiPriority w:val="1"/>
  </w:style>
  <w:style w:type="table" w:default="1" w:styleId="38">
    <w:name w:val="Normal Table"/>
    <w:autoRedefine/>
    <w:semiHidden/>
    <w:unhideWhenUsed/>
    <w:qFormat/>
    <w:uiPriority w:val="99"/>
    <w:tblPr>
      <w:tblCellMar>
        <w:top w:w="0" w:type="dxa"/>
        <w:left w:w="108" w:type="dxa"/>
        <w:bottom w:w="0" w:type="dxa"/>
        <w:right w:w="108" w:type="dxa"/>
      </w:tblCellMar>
    </w:tblPr>
  </w:style>
  <w:style w:type="paragraph" w:styleId="9">
    <w:name w:val="toc 7"/>
    <w:basedOn w:val="1"/>
    <w:next w:val="1"/>
    <w:autoRedefine/>
    <w:unhideWhenUsed/>
    <w:qFormat/>
    <w:uiPriority w:val="39"/>
    <w:pPr>
      <w:ind w:left="2520" w:leftChars="1200"/>
    </w:pPr>
  </w:style>
  <w:style w:type="paragraph" w:styleId="10">
    <w:name w:val="Note Heading"/>
    <w:basedOn w:val="1"/>
    <w:next w:val="1"/>
    <w:link w:val="71"/>
    <w:autoRedefine/>
    <w:qFormat/>
    <w:uiPriority w:val="99"/>
    <w:pPr>
      <w:jc w:val="center"/>
    </w:pPr>
    <w:rPr>
      <w:rFonts w:ascii="Times New Roman" w:hAnsi="Times New Roman" w:eastAsia="宋体" w:cs="Times New Roman"/>
      <w:szCs w:val="21"/>
    </w:rPr>
  </w:style>
  <w:style w:type="paragraph" w:styleId="11">
    <w:name w:val="Normal Indent"/>
    <w:basedOn w:val="1"/>
    <w:autoRedefine/>
    <w:qFormat/>
    <w:uiPriority w:val="0"/>
    <w:pPr>
      <w:ind w:firstLine="420" w:firstLineChars="200"/>
    </w:pPr>
    <w:rPr>
      <w:rFonts w:ascii="Times New Roman" w:hAnsi="Times New Roman" w:eastAsia="宋体" w:cs="Times New Roman"/>
      <w:szCs w:val="21"/>
    </w:rPr>
  </w:style>
  <w:style w:type="paragraph" w:styleId="12">
    <w:name w:val="caption"/>
    <w:basedOn w:val="1"/>
    <w:next w:val="1"/>
    <w:autoRedefine/>
    <w:unhideWhenUsed/>
    <w:qFormat/>
    <w:uiPriority w:val="35"/>
    <w:rPr>
      <w:rFonts w:eastAsia="黑体" w:asciiTheme="majorHAnsi" w:hAnsiTheme="majorHAnsi" w:cstheme="majorBidi"/>
      <w:sz w:val="20"/>
      <w:szCs w:val="20"/>
    </w:rPr>
  </w:style>
  <w:style w:type="paragraph" w:styleId="13">
    <w:name w:val="Document Map"/>
    <w:basedOn w:val="1"/>
    <w:link w:val="76"/>
    <w:autoRedefine/>
    <w:unhideWhenUsed/>
    <w:qFormat/>
    <w:uiPriority w:val="99"/>
    <w:rPr>
      <w:rFonts w:ascii="宋体" w:hAnsi="Calibri" w:eastAsia="宋体" w:cs="Times New Roman"/>
      <w:sz w:val="18"/>
      <w:szCs w:val="18"/>
    </w:rPr>
  </w:style>
  <w:style w:type="paragraph" w:styleId="14">
    <w:name w:val="toa heading"/>
    <w:basedOn w:val="1"/>
    <w:next w:val="1"/>
    <w:autoRedefine/>
    <w:semiHidden/>
    <w:qFormat/>
    <w:uiPriority w:val="0"/>
    <w:pPr>
      <w:spacing w:before="120"/>
    </w:pPr>
    <w:rPr>
      <w:rFonts w:ascii="Arial" w:hAnsi="Arial" w:eastAsia="宋体" w:cs="Times New Roman"/>
      <w:b/>
      <w:bCs/>
      <w:szCs w:val="21"/>
    </w:rPr>
  </w:style>
  <w:style w:type="paragraph" w:styleId="15">
    <w:name w:val="annotation text"/>
    <w:basedOn w:val="1"/>
    <w:link w:val="52"/>
    <w:unhideWhenUsed/>
    <w:qFormat/>
    <w:uiPriority w:val="99"/>
    <w:pPr>
      <w:jc w:val="left"/>
    </w:pPr>
  </w:style>
  <w:style w:type="paragraph" w:styleId="16">
    <w:name w:val="Salutation"/>
    <w:basedOn w:val="1"/>
    <w:next w:val="1"/>
    <w:link w:val="63"/>
    <w:qFormat/>
    <w:uiPriority w:val="99"/>
    <w:rPr>
      <w:rFonts w:ascii="Times New Roman" w:hAnsi="Times New Roman" w:eastAsia="宋体" w:cs="Times New Roman"/>
      <w:szCs w:val="21"/>
    </w:rPr>
  </w:style>
  <w:style w:type="paragraph" w:styleId="17">
    <w:name w:val="List Bullet 3"/>
    <w:basedOn w:val="1"/>
    <w:autoRedefine/>
    <w:qFormat/>
    <w:uiPriority w:val="0"/>
    <w:pPr>
      <w:tabs>
        <w:tab w:val="left" w:pos="1200"/>
      </w:tabs>
    </w:pPr>
    <w:rPr>
      <w:rFonts w:ascii="Times New Roman" w:hAnsi="Times New Roman" w:eastAsia="宋体" w:cs="Times New Roman"/>
      <w:szCs w:val="21"/>
    </w:rPr>
  </w:style>
  <w:style w:type="paragraph" w:styleId="18">
    <w:name w:val="Body Text"/>
    <w:basedOn w:val="1"/>
    <w:link w:val="68"/>
    <w:autoRedefine/>
    <w:qFormat/>
    <w:uiPriority w:val="99"/>
    <w:pPr>
      <w:spacing w:after="120"/>
    </w:pPr>
    <w:rPr>
      <w:rFonts w:ascii="Times New Roman" w:hAnsi="Times New Roman" w:eastAsia="宋体" w:cs="Times New Roman"/>
      <w:szCs w:val="21"/>
    </w:rPr>
  </w:style>
  <w:style w:type="paragraph" w:styleId="19">
    <w:name w:val="Body Text Indent"/>
    <w:basedOn w:val="1"/>
    <w:autoRedefine/>
    <w:qFormat/>
    <w:uiPriority w:val="0"/>
    <w:pPr>
      <w:spacing w:line="480" w:lineRule="exact"/>
      <w:ind w:firstLine="480" w:firstLineChars="200"/>
    </w:pPr>
    <w:rPr>
      <w:sz w:val="24"/>
    </w:rPr>
  </w:style>
  <w:style w:type="paragraph" w:styleId="20">
    <w:name w:val="toc 5"/>
    <w:basedOn w:val="1"/>
    <w:next w:val="1"/>
    <w:autoRedefine/>
    <w:unhideWhenUsed/>
    <w:qFormat/>
    <w:uiPriority w:val="39"/>
    <w:pPr>
      <w:ind w:left="1680" w:leftChars="800"/>
    </w:pPr>
  </w:style>
  <w:style w:type="paragraph" w:styleId="21">
    <w:name w:val="toc 3"/>
    <w:basedOn w:val="1"/>
    <w:next w:val="1"/>
    <w:unhideWhenUsed/>
    <w:qFormat/>
    <w:uiPriority w:val="39"/>
    <w:pPr>
      <w:widowControl/>
      <w:spacing w:after="100" w:line="276" w:lineRule="auto"/>
      <w:ind w:left="440"/>
      <w:jc w:val="left"/>
    </w:pPr>
    <w:rPr>
      <w:rFonts w:ascii="Calibri" w:hAnsi="Calibri" w:eastAsia="宋体" w:cs="Times New Roman"/>
      <w:kern w:val="0"/>
      <w:sz w:val="22"/>
    </w:rPr>
  </w:style>
  <w:style w:type="paragraph" w:styleId="22">
    <w:name w:val="Plain Text"/>
    <w:basedOn w:val="1"/>
    <w:link w:val="66"/>
    <w:autoRedefine/>
    <w:qFormat/>
    <w:uiPriority w:val="0"/>
    <w:rPr>
      <w:rFonts w:ascii="宋体" w:hAnsi="Courier New" w:eastAsia="宋体" w:cs="Times New Roman"/>
      <w:szCs w:val="20"/>
    </w:rPr>
  </w:style>
  <w:style w:type="paragraph" w:styleId="23">
    <w:name w:val="toc 8"/>
    <w:basedOn w:val="1"/>
    <w:next w:val="1"/>
    <w:autoRedefine/>
    <w:unhideWhenUsed/>
    <w:qFormat/>
    <w:uiPriority w:val="39"/>
    <w:pPr>
      <w:ind w:left="2940" w:leftChars="1400"/>
    </w:pPr>
  </w:style>
  <w:style w:type="paragraph" w:styleId="24">
    <w:name w:val="Date"/>
    <w:basedOn w:val="1"/>
    <w:next w:val="1"/>
    <w:link w:val="70"/>
    <w:autoRedefine/>
    <w:qFormat/>
    <w:uiPriority w:val="99"/>
    <w:pPr>
      <w:ind w:left="100" w:leftChars="2500"/>
    </w:pPr>
    <w:rPr>
      <w:rFonts w:ascii="Times New Roman" w:hAnsi="Times New Roman" w:eastAsia="宋体" w:cs="Times New Roman"/>
      <w:szCs w:val="21"/>
    </w:rPr>
  </w:style>
  <w:style w:type="paragraph" w:styleId="25">
    <w:name w:val="endnote text"/>
    <w:basedOn w:val="1"/>
    <w:link w:val="80"/>
    <w:autoRedefine/>
    <w:unhideWhenUsed/>
    <w:qFormat/>
    <w:uiPriority w:val="99"/>
    <w:pPr>
      <w:widowControl/>
      <w:snapToGrid w:val="0"/>
      <w:jc w:val="left"/>
    </w:pPr>
    <w:rPr>
      <w:rFonts w:ascii="宋体" w:hAnsi="宋体" w:eastAsia="宋体" w:cs="宋体"/>
      <w:kern w:val="0"/>
      <w:szCs w:val="24"/>
    </w:rPr>
  </w:style>
  <w:style w:type="paragraph" w:styleId="26">
    <w:name w:val="Balloon Text"/>
    <w:basedOn w:val="1"/>
    <w:link w:val="54"/>
    <w:unhideWhenUsed/>
    <w:qFormat/>
    <w:uiPriority w:val="99"/>
    <w:rPr>
      <w:sz w:val="18"/>
      <w:szCs w:val="18"/>
    </w:rPr>
  </w:style>
  <w:style w:type="paragraph" w:styleId="27">
    <w:name w:val="footer"/>
    <w:basedOn w:val="1"/>
    <w:link w:val="46"/>
    <w:autoRedefine/>
    <w:unhideWhenUsed/>
    <w:qFormat/>
    <w:uiPriority w:val="99"/>
    <w:pPr>
      <w:tabs>
        <w:tab w:val="center" w:pos="4153"/>
        <w:tab w:val="right" w:pos="8306"/>
      </w:tabs>
      <w:snapToGrid w:val="0"/>
      <w:jc w:val="left"/>
    </w:pPr>
    <w:rPr>
      <w:sz w:val="18"/>
      <w:szCs w:val="18"/>
    </w:rPr>
  </w:style>
  <w:style w:type="paragraph" w:styleId="28">
    <w:name w:val="header"/>
    <w:basedOn w:val="1"/>
    <w:link w:val="4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9">
    <w:name w:val="toc 1"/>
    <w:basedOn w:val="1"/>
    <w:next w:val="1"/>
    <w:autoRedefine/>
    <w:unhideWhenUsed/>
    <w:qFormat/>
    <w:uiPriority w:val="39"/>
  </w:style>
  <w:style w:type="paragraph" w:styleId="30">
    <w:name w:val="toc 4"/>
    <w:basedOn w:val="1"/>
    <w:next w:val="1"/>
    <w:unhideWhenUsed/>
    <w:qFormat/>
    <w:uiPriority w:val="39"/>
    <w:pPr>
      <w:ind w:left="1260" w:leftChars="600"/>
    </w:pPr>
  </w:style>
  <w:style w:type="paragraph" w:styleId="31">
    <w:name w:val="toc 6"/>
    <w:basedOn w:val="1"/>
    <w:next w:val="1"/>
    <w:autoRedefine/>
    <w:unhideWhenUsed/>
    <w:qFormat/>
    <w:uiPriority w:val="39"/>
    <w:pPr>
      <w:ind w:left="2100" w:leftChars="1000"/>
    </w:pPr>
  </w:style>
  <w:style w:type="paragraph" w:styleId="32">
    <w:name w:val="toc 2"/>
    <w:basedOn w:val="1"/>
    <w:next w:val="1"/>
    <w:autoRedefine/>
    <w:unhideWhenUsed/>
    <w:qFormat/>
    <w:uiPriority w:val="39"/>
    <w:pPr>
      <w:ind w:left="420" w:leftChars="200"/>
    </w:pPr>
  </w:style>
  <w:style w:type="paragraph" w:styleId="33">
    <w:name w:val="toc 9"/>
    <w:basedOn w:val="1"/>
    <w:next w:val="1"/>
    <w:unhideWhenUsed/>
    <w:qFormat/>
    <w:uiPriority w:val="39"/>
    <w:pPr>
      <w:ind w:left="3360" w:leftChars="1600"/>
    </w:pPr>
  </w:style>
  <w:style w:type="paragraph" w:styleId="34">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35">
    <w:name w:val="index 1"/>
    <w:basedOn w:val="1"/>
    <w:next w:val="1"/>
    <w:semiHidden/>
    <w:qFormat/>
    <w:uiPriority w:val="0"/>
    <w:pPr>
      <w:widowControl/>
      <w:ind w:firstLine="420" w:firstLineChars="200"/>
      <w:jc w:val="left"/>
    </w:pPr>
    <w:rPr>
      <w:rFonts w:ascii="宋体" w:hAnsi="宋体" w:eastAsia="宋体" w:cs="Times New Roman"/>
      <w:color w:val="000000"/>
      <w:kern w:val="0"/>
      <w:szCs w:val="21"/>
    </w:rPr>
  </w:style>
  <w:style w:type="paragraph" w:styleId="36">
    <w:name w:val="Title"/>
    <w:basedOn w:val="1"/>
    <w:next w:val="1"/>
    <w:link w:val="78"/>
    <w:autoRedefine/>
    <w:qFormat/>
    <w:uiPriority w:val="0"/>
    <w:pPr>
      <w:spacing w:before="240" w:after="60"/>
      <w:jc w:val="center"/>
      <w:outlineLvl w:val="0"/>
    </w:pPr>
    <w:rPr>
      <w:rFonts w:eastAsia="宋体" w:asciiTheme="majorHAnsi" w:hAnsiTheme="majorHAnsi" w:cstheme="majorBidi"/>
      <w:b/>
      <w:bCs/>
      <w:sz w:val="32"/>
      <w:szCs w:val="32"/>
    </w:rPr>
  </w:style>
  <w:style w:type="paragraph" w:styleId="37">
    <w:name w:val="annotation subject"/>
    <w:basedOn w:val="15"/>
    <w:next w:val="15"/>
    <w:link w:val="53"/>
    <w:autoRedefine/>
    <w:unhideWhenUsed/>
    <w:qFormat/>
    <w:uiPriority w:val="99"/>
    <w:rPr>
      <w:b/>
      <w:bCs/>
    </w:rPr>
  </w:style>
  <w:style w:type="table" w:styleId="39">
    <w:name w:val="Table Grid"/>
    <w:basedOn w:val="38"/>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endnote reference"/>
    <w:basedOn w:val="40"/>
    <w:autoRedefine/>
    <w:unhideWhenUsed/>
    <w:qFormat/>
    <w:uiPriority w:val="99"/>
    <w:rPr>
      <w:vertAlign w:val="superscript"/>
    </w:rPr>
  </w:style>
  <w:style w:type="character" w:styleId="42">
    <w:name w:val="page number"/>
    <w:basedOn w:val="40"/>
    <w:autoRedefine/>
    <w:qFormat/>
    <w:uiPriority w:val="0"/>
  </w:style>
  <w:style w:type="character" w:styleId="43">
    <w:name w:val="Hyperlink"/>
    <w:basedOn w:val="40"/>
    <w:autoRedefine/>
    <w:unhideWhenUsed/>
    <w:qFormat/>
    <w:uiPriority w:val="99"/>
    <w:rPr>
      <w:color w:val="0563C1" w:themeColor="hyperlink"/>
      <w:u w:val="single"/>
      <w14:textFill>
        <w14:solidFill>
          <w14:schemeClr w14:val="hlink"/>
        </w14:solidFill>
      </w14:textFill>
    </w:rPr>
  </w:style>
  <w:style w:type="character" w:styleId="44">
    <w:name w:val="annotation reference"/>
    <w:basedOn w:val="40"/>
    <w:autoRedefine/>
    <w:unhideWhenUsed/>
    <w:qFormat/>
    <w:uiPriority w:val="0"/>
    <w:rPr>
      <w:sz w:val="21"/>
      <w:szCs w:val="21"/>
    </w:rPr>
  </w:style>
  <w:style w:type="character" w:customStyle="1" w:styleId="45">
    <w:name w:val="页眉 字符"/>
    <w:basedOn w:val="40"/>
    <w:link w:val="28"/>
    <w:autoRedefine/>
    <w:qFormat/>
    <w:uiPriority w:val="99"/>
    <w:rPr>
      <w:sz w:val="18"/>
      <w:szCs w:val="18"/>
    </w:rPr>
  </w:style>
  <w:style w:type="character" w:customStyle="1" w:styleId="46">
    <w:name w:val="页脚 字符"/>
    <w:basedOn w:val="40"/>
    <w:link w:val="27"/>
    <w:autoRedefine/>
    <w:qFormat/>
    <w:uiPriority w:val="99"/>
    <w:rPr>
      <w:sz w:val="18"/>
      <w:szCs w:val="18"/>
    </w:rPr>
  </w:style>
  <w:style w:type="paragraph" w:customStyle="1" w:styleId="47">
    <w:name w:val="aSTL正文"/>
    <w:basedOn w:val="1"/>
    <w:link w:val="48"/>
    <w:autoRedefine/>
    <w:qFormat/>
    <w:uiPriority w:val="0"/>
    <w:pPr>
      <w:spacing w:line="300" w:lineRule="auto"/>
      <w:ind w:firstLine="200" w:firstLineChars="200"/>
    </w:pPr>
    <w:rPr>
      <w:rFonts w:ascii="Calibri" w:hAnsi="Calibri" w:eastAsia="宋体" w:cs="Times New Roman"/>
      <w:kern w:val="0"/>
      <w:sz w:val="24"/>
      <w:szCs w:val="20"/>
      <w:lang w:val="zh-CN"/>
    </w:rPr>
  </w:style>
  <w:style w:type="character" w:customStyle="1" w:styleId="48">
    <w:name w:val="aSTL正文 Char"/>
    <w:link w:val="47"/>
    <w:autoRedefine/>
    <w:qFormat/>
    <w:uiPriority w:val="0"/>
    <w:rPr>
      <w:rFonts w:ascii="Calibri" w:hAnsi="Calibri" w:eastAsia="宋体" w:cs="Times New Roman"/>
      <w:kern w:val="0"/>
      <w:sz w:val="24"/>
      <w:szCs w:val="20"/>
      <w:lang w:val="zh-CN" w:eastAsia="zh-CN"/>
    </w:rPr>
  </w:style>
  <w:style w:type="paragraph" w:customStyle="1" w:styleId="49">
    <w:name w:val="4.1.1.1.1"/>
    <w:basedOn w:val="1"/>
    <w:link w:val="50"/>
    <w:autoRedefine/>
    <w:qFormat/>
    <w:uiPriority w:val="0"/>
    <w:pPr>
      <w:tabs>
        <w:tab w:val="left" w:pos="142"/>
      </w:tabs>
      <w:spacing w:beforeLines="50" w:afterLines="50"/>
      <w:ind w:left="200" w:leftChars="200"/>
      <w:jc w:val="left"/>
      <w:outlineLvl w:val="3"/>
    </w:pPr>
    <w:rPr>
      <w:rFonts w:ascii="宋体" w:hAnsi="宋体" w:eastAsia="宋体" w:cs="Times New Roman"/>
      <w:b/>
      <w:color w:val="000000"/>
      <w:kern w:val="0"/>
      <w:sz w:val="24"/>
      <w:szCs w:val="24"/>
      <w:lang w:val="zh-CN"/>
    </w:rPr>
  </w:style>
  <w:style w:type="character" w:customStyle="1" w:styleId="50">
    <w:name w:val="4.1.1.1.1 Char"/>
    <w:link w:val="49"/>
    <w:autoRedefine/>
    <w:qFormat/>
    <w:uiPriority w:val="0"/>
    <w:rPr>
      <w:rFonts w:ascii="宋体" w:hAnsi="宋体" w:eastAsia="宋体" w:cs="Times New Roman"/>
      <w:b/>
      <w:color w:val="000000"/>
      <w:kern w:val="0"/>
      <w:sz w:val="24"/>
      <w:szCs w:val="24"/>
      <w:lang w:val="zh-CN" w:eastAsia="zh-CN"/>
    </w:rPr>
  </w:style>
  <w:style w:type="paragraph" w:styleId="51">
    <w:name w:val="List Paragraph"/>
    <w:basedOn w:val="1"/>
    <w:autoRedefine/>
    <w:qFormat/>
    <w:uiPriority w:val="34"/>
    <w:pPr>
      <w:ind w:firstLine="420" w:firstLineChars="200"/>
    </w:pPr>
    <w:rPr>
      <w:rFonts w:ascii="Calibri" w:hAnsi="Calibri" w:eastAsia="宋体" w:cs="Times New Roman"/>
    </w:rPr>
  </w:style>
  <w:style w:type="character" w:customStyle="1" w:styleId="52">
    <w:name w:val="批注文字 字符"/>
    <w:basedOn w:val="40"/>
    <w:link w:val="15"/>
    <w:autoRedefine/>
    <w:qFormat/>
    <w:uiPriority w:val="99"/>
  </w:style>
  <w:style w:type="character" w:customStyle="1" w:styleId="53">
    <w:name w:val="批注主题 字符"/>
    <w:basedOn w:val="52"/>
    <w:link w:val="37"/>
    <w:autoRedefine/>
    <w:qFormat/>
    <w:uiPriority w:val="99"/>
    <w:rPr>
      <w:b/>
      <w:bCs/>
    </w:rPr>
  </w:style>
  <w:style w:type="character" w:customStyle="1" w:styleId="54">
    <w:name w:val="批注框文本 字符"/>
    <w:basedOn w:val="40"/>
    <w:link w:val="26"/>
    <w:autoRedefine/>
    <w:qFormat/>
    <w:uiPriority w:val="99"/>
    <w:rPr>
      <w:sz w:val="18"/>
      <w:szCs w:val="18"/>
    </w:rPr>
  </w:style>
  <w:style w:type="character" w:customStyle="1" w:styleId="55">
    <w:name w:val="标题 1 字符"/>
    <w:basedOn w:val="40"/>
    <w:link w:val="2"/>
    <w:autoRedefine/>
    <w:qFormat/>
    <w:uiPriority w:val="99"/>
    <w:rPr>
      <w:b/>
      <w:bCs/>
      <w:kern w:val="44"/>
      <w:sz w:val="44"/>
      <w:szCs w:val="44"/>
    </w:rPr>
  </w:style>
  <w:style w:type="paragraph" w:customStyle="1" w:styleId="56">
    <w:name w:val="TOC 标题1"/>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57">
    <w:name w:val="标题 2 字符"/>
    <w:basedOn w:val="40"/>
    <w:link w:val="3"/>
    <w:autoRedefine/>
    <w:qFormat/>
    <w:uiPriority w:val="0"/>
    <w:rPr>
      <w:rFonts w:asciiTheme="majorHAnsi" w:hAnsiTheme="majorHAnsi" w:eastAsiaTheme="majorEastAsia" w:cstheme="majorBidi"/>
      <w:b/>
      <w:bCs/>
      <w:sz w:val="32"/>
      <w:szCs w:val="32"/>
    </w:rPr>
  </w:style>
  <w:style w:type="character" w:customStyle="1" w:styleId="58">
    <w:name w:val="标题 3 字符"/>
    <w:basedOn w:val="40"/>
    <w:link w:val="4"/>
    <w:autoRedefine/>
    <w:qFormat/>
    <w:uiPriority w:val="9"/>
    <w:rPr>
      <w:rFonts w:ascii="Calibri" w:hAnsi="Calibri" w:eastAsia="宋体" w:cs="Times New Roman"/>
      <w:b/>
      <w:bCs/>
      <w:szCs w:val="32"/>
    </w:rPr>
  </w:style>
  <w:style w:type="character" w:customStyle="1" w:styleId="59">
    <w:name w:val="标题 4 字符"/>
    <w:basedOn w:val="40"/>
    <w:link w:val="5"/>
    <w:autoRedefine/>
    <w:qFormat/>
    <w:uiPriority w:val="9"/>
    <w:rPr>
      <w:rFonts w:ascii="Cambria" w:hAnsi="Cambria" w:eastAsia="宋体" w:cs="Times New Roman"/>
      <w:b/>
      <w:bCs/>
      <w:szCs w:val="28"/>
    </w:rPr>
  </w:style>
  <w:style w:type="character" w:customStyle="1" w:styleId="60">
    <w:name w:val="标题 5 字符"/>
    <w:basedOn w:val="40"/>
    <w:link w:val="6"/>
    <w:autoRedefine/>
    <w:qFormat/>
    <w:uiPriority w:val="9"/>
    <w:rPr>
      <w:rFonts w:ascii="Calibri" w:hAnsi="Calibri" w:eastAsia="宋体" w:cs="Times New Roman"/>
      <w:b/>
      <w:bCs/>
      <w:szCs w:val="28"/>
    </w:rPr>
  </w:style>
  <w:style w:type="character" w:customStyle="1" w:styleId="61">
    <w:name w:val="标题 6 字符"/>
    <w:basedOn w:val="40"/>
    <w:link w:val="7"/>
    <w:autoRedefine/>
    <w:qFormat/>
    <w:uiPriority w:val="9"/>
    <w:rPr>
      <w:rFonts w:eastAsia="宋体" w:asciiTheme="majorHAnsi" w:hAnsiTheme="majorHAnsi" w:cstheme="majorBidi"/>
      <w:b/>
      <w:bCs/>
      <w:kern w:val="0"/>
      <w:szCs w:val="24"/>
    </w:rPr>
  </w:style>
  <w:style w:type="character" w:customStyle="1" w:styleId="62">
    <w:name w:val="标题 7 字符"/>
    <w:basedOn w:val="40"/>
    <w:link w:val="8"/>
    <w:autoRedefine/>
    <w:qFormat/>
    <w:uiPriority w:val="9"/>
    <w:rPr>
      <w:rFonts w:ascii="宋体" w:hAnsi="宋体" w:eastAsia="宋体" w:cs="宋体"/>
      <w:b/>
      <w:bCs/>
      <w:kern w:val="0"/>
      <w:sz w:val="24"/>
      <w:szCs w:val="24"/>
    </w:rPr>
  </w:style>
  <w:style w:type="character" w:customStyle="1" w:styleId="63">
    <w:name w:val="称呼 字符"/>
    <w:basedOn w:val="40"/>
    <w:link w:val="16"/>
    <w:autoRedefine/>
    <w:qFormat/>
    <w:uiPriority w:val="99"/>
    <w:rPr>
      <w:rFonts w:ascii="Times New Roman" w:hAnsi="Times New Roman" w:eastAsia="宋体" w:cs="Times New Roman"/>
      <w:szCs w:val="21"/>
    </w:rPr>
  </w:style>
  <w:style w:type="character" w:customStyle="1" w:styleId="64">
    <w:name w:val="notnullcss1"/>
    <w:basedOn w:val="40"/>
    <w:autoRedefine/>
    <w:qFormat/>
    <w:uiPriority w:val="99"/>
    <w:rPr>
      <w:rFonts w:eastAsia="宋体" w:cs="Times New Roman"/>
      <w:color w:val="FF0000"/>
      <w:kern w:val="2"/>
      <w:sz w:val="24"/>
      <w:szCs w:val="24"/>
      <w:lang w:val="en-US" w:eastAsia="zh-CN" w:bidi="ar-SA"/>
    </w:rPr>
  </w:style>
  <w:style w:type="paragraph" w:customStyle="1" w:styleId="65">
    <w:name w:val="xl61"/>
    <w:basedOn w:val="1"/>
    <w:autoRedefine/>
    <w:qFormat/>
    <w:uiPriority w:val="99"/>
    <w:pPr>
      <w:widowControl/>
      <w:spacing w:before="100" w:after="100"/>
      <w:jc w:val="right"/>
    </w:pPr>
    <w:rPr>
      <w:rFonts w:ascii="Arial Unicode MS" w:hAnsi="Times New Roman" w:eastAsia="Arial Unicode MS" w:cs="Times New Roman"/>
      <w:kern w:val="0"/>
      <w:sz w:val="18"/>
      <w:szCs w:val="18"/>
    </w:rPr>
  </w:style>
  <w:style w:type="character" w:customStyle="1" w:styleId="66">
    <w:name w:val="纯文本 字符"/>
    <w:basedOn w:val="40"/>
    <w:link w:val="22"/>
    <w:autoRedefine/>
    <w:qFormat/>
    <w:uiPriority w:val="0"/>
    <w:rPr>
      <w:rFonts w:ascii="宋体" w:hAnsi="Courier New" w:eastAsia="宋体" w:cs="Times New Roman"/>
      <w:szCs w:val="20"/>
    </w:rPr>
  </w:style>
  <w:style w:type="character" w:customStyle="1" w:styleId="67">
    <w:name w:val="headline-content2"/>
    <w:basedOn w:val="40"/>
    <w:autoRedefine/>
    <w:qFormat/>
    <w:uiPriority w:val="0"/>
    <w:rPr>
      <w:rFonts w:eastAsia="宋体" w:cs="Times New Roman"/>
      <w:kern w:val="2"/>
      <w:sz w:val="24"/>
      <w:szCs w:val="24"/>
      <w:lang w:val="en-US" w:eastAsia="zh-CN" w:bidi="ar-SA"/>
    </w:rPr>
  </w:style>
  <w:style w:type="character" w:customStyle="1" w:styleId="68">
    <w:name w:val="正文文本 字符"/>
    <w:basedOn w:val="40"/>
    <w:link w:val="18"/>
    <w:autoRedefine/>
    <w:qFormat/>
    <w:uiPriority w:val="99"/>
    <w:rPr>
      <w:rFonts w:ascii="Times New Roman" w:hAnsi="Times New Roman" w:eastAsia="宋体" w:cs="Times New Roman"/>
      <w:szCs w:val="21"/>
    </w:rPr>
  </w:style>
  <w:style w:type="paragraph" w:customStyle="1" w:styleId="69">
    <w:name w:val="write2"/>
    <w:basedOn w:val="1"/>
    <w:qFormat/>
    <w:uiPriority w:val="99"/>
    <w:pPr>
      <w:widowControl/>
      <w:tabs>
        <w:tab w:val="left" w:pos="709"/>
      </w:tabs>
      <w:overflowPunct w:val="0"/>
      <w:autoSpaceDE w:val="0"/>
      <w:autoSpaceDN w:val="0"/>
      <w:adjustRightInd w:val="0"/>
      <w:textAlignment w:val="baseline"/>
    </w:pPr>
    <w:rPr>
      <w:rFonts w:ascii="Helvetica-Narrow" w:hAnsi="Helvetica-Narrow" w:eastAsia="宋体" w:cs="Times New Roman"/>
      <w:kern w:val="0"/>
      <w:szCs w:val="24"/>
      <w:lang w:val="en-AU"/>
    </w:rPr>
  </w:style>
  <w:style w:type="character" w:customStyle="1" w:styleId="70">
    <w:name w:val="日期 字符"/>
    <w:basedOn w:val="40"/>
    <w:link w:val="24"/>
    <w:qFormat/>
    <w:uiPriority w:val="99"/>
    <w:rPr>
      <w:rFonts w:ascii="Times New Roman" w:hAnsi="Times New Roman" w:eastAsia="宋体" w:cs="Times New Roman"/>
      <w:szCs w:val="21"/>
    </w:rPr>
  </w:style>
  <w:style w:type="character" w:customStyle="1" w:styleId="71">
    <w:name w:val="注释标题 字符"/>
    <w:basedOn w:val="40"/>
    <w:link w:val="10"/>
    <w:qFormat/>
    <w:uiPriority w:val="99"/>
    <w:rPr>
      <w:rFonts w:ascii="Times New Roman" w:hAnsi="Times New Roman" w:eastAsia="宋体" w:cs="Times New Roman"/>
      <w:szCs w:val="21"/>
    </w:rPr>
  </w:style>
  <w:style w:type="paragraph" w:customStyle="1" w:styleId="72">
    <w:name w:val="标题5"/>
    <w:basedOn w:val="1"/>
    <w:qFormat/>
    <w:uiPriority w:val="0"/>
    <w:pPr>
      <w:keepNext/>
      <w:keepLines/>
      <w:spacing w:before="60" w:after="60"/>
      <w:ind w:hanging="420" w:hangingChars="200"/>
      <w:outlineLvl w:val="4"/>
    </w:pPr>
    <w:rPr>
      <w:rFonts w:ascii="宋体" w:hAnsi="宋体" w:eastAsia="宋体" w:cs="Times New Roman"/>
      <w:b/>
      <w:bCs/>
      <w:szCs w:val="21"/>
    </w:rPr>
  </w:style>
  <w:style w:type="paragraph" w:customStyle="1" w:styleId="73">
    <w:name w:val="修订1"/>
    <w:hidden/>
    <w:semiHidden/>
    <w:qFormat/>
    <w:uiPriority w:val="99"/>
    <w:rPr>
      <w:rFonts w:ascii="Calibri" w:hAnsi="Calibri" w:eastAsia="宋体" w:cs="Times New Roman"/>
      <w:kern w:val="2"/>
      <w:sz w:val="21"/>
      <w:szCs w:val="22"/>
      <w:lang w:val="en-US" w:eastAsia="zh-CN" w:bidi="ar-SA"/>
    </w:rPr>
  </w:style>
  <w:style w:type="character" w:customStyle="1" w:styleId="74">
    <w:name w:val="正文的样式 Char"/>
    <w:basedOn w:val="40"/>
    <w:link w:val="75"/>
    <w:qFormat/>
    <w:uiPriority w:val="0"/>
    <w:rPr>
      <w:szCs w:val="24"/>
    </w:rPr>
  </w:style>
  <w:style w:type="paragraph" w:customStyle="1" w:styleId="75">
    <w:name w:val="正文的样式"/>
    <w:basedOn w:val="1"/>
    <w:link w:val="74"/>
    <w:autoRedefine/>
    <w:qFormat/>
    <w:uiPriority w:val="0"/>
    <w:pPr>
      <w:spacing w:before="100" w:after="100"/>
    </w:pPr>
    <w:rPr>
      <w:szCs w:val="24"/>
    </w:rPr>
  </w:style>
  <w:style w:type="character" w:customStyle="1" w:styleId="76">
    <w:name w:val="文档结构图 字符"/>
    <w:basedOn w:val="40"/>
    <w:link w:val="13"/>
    <w:semiHidden/>
    <w:qFormat/>
    <w:uiPriority w:val="99"/>
    <w:rPr>
      <w:rFonts w:ascii="宋体" w:hAnsi="Calibri" w:eastAsia="宋体" w:cs="Times New Roman"/>
      <w:sz w:val="18"/>
      <w:szCs w:val="18"/>
    </w:rPr>
  </w:style>
  <w:style w:type="character" w:styleId="77">
    <w:name w:val="Placeholder Text"/>
    <w:basedOn w:val="40"/>
    <w:semiHidden/>
    <w:qFormat/>
    <w:uiPriority w:val="99"/>
    <w:rPr>
      <w:color w:val="auto"/>
    </w:rPr>
  </w:style>
  <w:style w:type="character" w:customStyle="1" w:styleId="78">
    <w:name w:val="标题 字符"/>
    <w:basedOn w:val="40"/>
    <w:link w:val="36"/>
    <w:qFormat/>
    <w:uiPriority w:val="0"/>
    <w:rPr>
      <w:rFonts w:eastAsia="宋体" w:asciiTheme="majorHAnsi" w:hAnsiTheme="majorHAnsi" w:cstheme="majorBidi"/>
      <w:b/>
      <w:bCs/>
      <w:sz w:val="32"/>
      <w:szCs w:val="32"/>
    </w:rPr>
  </w:style>
  <w:style w:type="paragraph" w:styleId="79">
    <w:name w:val="No Spacing"/>
    <w:autoRedefine/>
    <w:qFormat/>
    <w:uiPriority w:val="1"/>
    <w:pPr>
      <w:widowControl w:val="0"/>
      <w:jc w:val="both"/>
    </w:pPr>
    <w:rPr>
      <w:rFonts w:ascii="Calibri" w:hAnsi="Calibri" w:eastAsia="宋体" w:cs="Times New Roman"/>
      <w:kern w:val="2"/>
      <w:sz w:val="21"/>
      <w:szCs w:val="22"/>
      <w:lang w:val="en-US" w:eastAsia="zh-CN" w:bidi="ar-SA"/>
    </w:rPr>
  </w:style>
  <w:style w:type="character" w:customStyle="1" w:styleId="80">
    <w:name w:val="尾注文本 字符"/>
    <w:basedOn w:val="40"/>
    <w:link w:val="25"/>
    <w:semiHidden/>
    <w:qFormat/>
    <w:uiPriority w:val="99"/>
    <w:rPr>
      <w:rFonts w:ascii="宋体" w:hAnsi="宋体" w:eastAsia="宋体" w:cs="宋体"/>
      <w:kern w:val="0"/>
      <w:szCs w:val="24"/>
    </w:rPr>
  </w:style>
  <w:style w:type="character" w:customStyle="1" w:styleId="81">
    <w:name w:val="批注主题 Char1"/>
    <w:basedOn w:val="52"/>
    <w:autoRedefine/>
    <w:semiHidden/>
    <w:qFormat/>
    <w:uiPriority w:val="99"/>
    <w:rPr>
      <w:rFonts w:ascii="Times New Roman" w:hAnsi="Times New Roman" w:eastAsia="宋体" w:cs="Times New Roman"/>
      <w:b/>
      <w:bCs/>
      <w:szCs w:val="21"/>
    </w:rPr>
  </w:style>
  <w:style w:type="character" w:customStyle="1" w:styleId="82">
    <w:name w:val="span_"/>
    <w:basedOn w:val="40"/>
    <w:qFormat/>
    <w:uiPriority w:val="0"/>
  </w:style>
  <w:style w:type="paragraph" w:customStyle="1" w:styleId="83">
    <w:name w:val="标题  3"/>
    <w:basedOn w:val="1"/>
    <w:next w:val="1"/>
    <w:link w:val="84"/>
    <w:qFormat/>
    <w:uiPriority w:val="0"/>
    <w:pPr>
      <w:keepNext/>
      <w:keepLines/>
      <w:spacing w:before="100" w:beforeAutospacing="1" w:after="100" w:afterAutospacing="1" w:line="415" w:lineRule="auto"/>
    </w:pPr>
    <w:rPr>
      <w:rFonts w:ascii="Times New Roman" w:hAnsi="Times New Roman" w:eastAsia="宋体" w:cs="Times New Roman"/>
      <w:b/>
      <w:szCs w:val="24"/>
    </w:rPr>
  </w:style>
  <w:style w:type="character" w:customStyle="1" w:styleId="84">
    <w:name w:val="标题  3 Char"/>
    <w:basedOn w:val="40"/>
    <w:link w:val="83"/>
    <w:qFormat/>
    <w:uiPriority w:val="0"/>
    <w:rPr>
      <w:rFonts w:ascii="Times New Roman" w:hAnsi="Times New Roman" w:eastAsia="宋体" w:cs="Times New Roman"/>
      <w:b/>
      <w:szCs w:val="24"/>
    </w:rPr>
  </w:style>
  <w:style w:type="paragraph" w:customStyle="1" w:styleId="85">
    <w:name w:val="列出段落1"/>
    <w:basedOn w:val="1"/>
    <w:qFormat/>
    <w:uiPriority w:val="0"/>
    <w:pPr>
      <w:ind w:firstLine="420" w:firstLineChars="200"/>
    </w:pPr>
    <w:rPr>
      <w:rFonts w:ascii="Calibri" w:hAnsi="Calibri" w:eastAsia="宋体" w:cs="Calibri"/>
      <w:szCs w:val="21"/>
    </w:rPr>
  </w:style>
  <w:style w:type="paragraph" w:customStyle="1" w:styleId="86">
    <w:name w:val="报告正文格式1"/>
    <w:basedOn w:val="1"/>
    <w:qFormat/>
    <w:uiPriority w:val="0"/>
    <w:pPr>
      <w:spacing w:line="360" w:lineRule="auto"/>
      <w:ind w:firstLine="200" w:firstLineChars="200"/>
      <w:jc w:val="left"/>
    </w:pPr>
    <w:rPr>
      <w:rFonts w:ascii="Times New Roman" w:hAnsi="Times New Roman" w:eastAsia="仿宋" w:cs="Times New Roman"/>
      <w:bCs/>
      <w:sz w:val="24"/>
      <w:szCs w:val="24"/>
    </w:rPr>
  </w:style>
  <w:style w:type="paragraph" w:customStyle="1" w:styleId="87">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table" w:customStyle="1" w:styleId="88">
    <w:name w:val="Table Normal"/>
    <w:autoRedefine/>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89">
    <w:name w:val="Table Paragraph"/>
    <w:basedOn w:val="1"/>
    <w:qFormat/>
    <w:uiPriority w:val="1"/>
    <w:pPr>
      <w:autoSpaceDE w:val="0"/>
      <w:autoSpaceDN w:val="0"/>
      <w:jc w:val="left"/>
    </w:pPr>
    <w:rPr>
      <w:rFonts w:ascii="Times New Roman" w:hAnsi="Times New Roman" w:eastAsia="Times New Roman" w:cs="Times New Roman"/>
      <w:kern w:val="0"/>
      <w:sz w:val="22"/>
      <w:lang w:eastAsia="en-US"/>
    </w:rPr>
  </w:style>
  <w:style w:type="paragraph" w:customStyle="1" w:styleId="90">
    <w:name w:val="前言标题"/>
    <w:basedOn w:val="3"/>
    <w:link w:val="92"/>
    <w:autoRedefine/>
    <w:qFormat/>
    <w:uiPriority w:val="0"/>
    <w:pPr>
      <w:spacing w:before="0" w:after="0" w:line="566" w:lineRule="auto"/>
      <w:jc w:val="left"/>
      <w:outlineLvl w:val="9"/>
    </w:pPr>
    <w:rPr>
      <w:rFonts w:ascii="Times New Roman" w:hAnsi="Times New Roman" w:eastAsia="黑体" w:cs="Times New Roman"/>
      <w:b w:val="0"/>
      <w:sz w:val="21"/>
    </w:rPr>
  </w:style>
  <w:style w:type="paragraph" w:customStyle="1" w:styleId="91">
    <w:name w:val="前言大标题"/>
    <w:basedOn w:val="2"/>
    <w:link w:val="93"/>
    <w:qFormat/>
    <w:uiPriority w:val="0"/>
    <w:pPr>
      <w:spacing w:before="0" w:after="680" w:line="283" w:lineRule="auto"/>
      <w:ind w:firstLine="200" w:firstLineChars="200"/>
      <w:jc w:val="center"/>
      <w:outlineLvl w:val="9"/>
    </w:pPr>
    <w:rPr>
      <w:rFonts w:ascii="Times New Roman" w:hAnsi="Times New Roman" w:eastAsia="黑体" w:cs="Times New Roman"/>
      <w:b w:val="0"/>
      <w:sz w:val="32"/>
    </w:rPr>
  </w:style>
  <w:style w:type="character" w:customStyle="1" w:styleId="92">
    <w:name w:val="前言标题 Char"/>
    <w:basedOn w:val="40"/>
    <w:link w:val="90"/>
    <w:qFormat/>
    <w:uiPriority w:val="0"/>
    <w:rPr>
      <w:rFonts w:eastAsia="黑体"/>
      <w:bCs/>
      <w:kern w:val="2"/>
      <w:sz w:val="21"/>
      <w:szCs w:val="32"/>
    </w:rPr>
  </w:style>
  <w:style w:type="character" w:customStyle="1" w:styleId="93">
    <w:name w:val="前言大标题 Char"/>
    <w:link w:val="91"/>
    <w:qFormat/>
    <w:uiPriority w:val="0"/>
    <w:rPr>
      <w:rFonts w:eastAsia="黑体"/>
      <w:bCs/>
      <w:kern w:val="44"/>
      <w:sz w:val="32"/>
      <w:szCs w:val="44"/>
    </w:rPr>
  </w:style>
  <w:style w:type="paragraph" w:customStyle="1" w:styleId="94">
    <w:name w:val="Char Char Char Char Char Char Char Char Char Char Char Char Char"/>
    <w:basedOn w:val="1"/>
    <w:qFormat/>
    <w:uiPriority w:val="0"/>
    <w:rPr>
      <w:rFonts w:ascii="Times New Roman" w:hAnsi="Times New Roman" w:eastAsia="宋体" w:cs="Times New Roman"/>
      <w:sz w:val="24"/>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3.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dataSourceCollection xmlns="http://www.yonyou.com/datasourc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relations xmlns="http://www.yonyou.com/relation"/>
</file>

<file path=customXml/itemProps1.xml><?xml version="1.0" encoding="utf-8"?>
<ds:datastoreItem xmlns:ds="http://schemas.openxmlformats.org/officeDocument/2006/customXml" ds:itemID="{6BC0C85B-024C-49A1-89CA-1A1A3B0F4157}">
  <ds:schemaRefs/>
</ds:datastoreItem>
</file>

<file path=customXml/itemProps2.xml><?xml version="1.0" encoding="utf-8"?>
<ds:datastoreItem xmlns:ds="http://schemas.openxmlformats.org/officeDocument/2006/customXml" ds:itemID="{8C0DEE37-9B9B-4CEF-B415-840BBC3F7C93}">
  <ds:schemaRefs/>
</ds:datastoreItem>
</file>

<file path=customXml/itemProps3.xml><?xml version="1.0" encoding="utf-8"?>
<ds:datastoreItem xmlns:ds="http://schemas.openxmlformats.org/officeDocument/2006/customXml" ds:itemID="{C5D7E463-A10F-494B-AAC3-043C8AA8F38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Pages>
  <Words>941</Words>
  <Characters>5367</Characters>
  <Lines>44</Lines>
  <Paragraphs>12</Paragraphs>
  <TotalTime>1</TotalTime>
  <ScaleCrop>false</ScaleCrop>
  <LinksUpToDate>false</LinksUpToDate>
  <CharactersWithSpaces>6296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2022-07-22T02:14:00Z</dcterms:created>
  <dc:creator>Meng Tang</dc:creator>
  <cp:lastModifiedBy>若谷</cp:lastModifiedBy>
  <cp:lastPrinted>2022-08-26T10:15:00Z</cp:lastPrinted>
  <dcterms:modified xsi:type="dcterms:W3CDTF">2023-12-26T02:58:39Z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FDF410CFA5D94F799536ABD19E429611</vt:lpwstr>
  </property>
</Properties>
</file>